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D7FD">
      <w:pPr>
        <w:adjustRightInd w:val="0"/>
        <w:snapToGrid w:val="0"/>
        <w:spacing w:line="460" w:lineRule="exact"/>
        <w:ind w:left="-283" w:leftChars="-118" w:right="667" w:rightChars="278"/>
        <w:jc w:val="both"/>
        <w:rPr>
          <w:rFonts w:ascii="標楷體" w:hAnsi="標楷體" w:eastAsia="標楷體"/>
          <w:bCs/>
          <w:sz w:val="40"/>
          <w:szCs w:val="40"/>
        </w:rPr>
      </w:pPr>
      <w:r>
        <w:rPr>
          <w:rFonts w:hint="eastAsia" w:ascii="標楷體" w:hAnsi="標楷體" w:eastAsia="標楷體"/>
          <w:bCs/>
          <w:sz w:val="40"/>
          <w:szCs w:val="40"/>
        </w:rPr>
        <w:t>中華民國橄欖球協會</w:t>
      </w:r>
      <w:bookmarkStart w:id="0" w:name="_Hlk162966485"/>
      <w:r>
        <w:rPr>
          <w:rFonts w:hint="eastAsia" w:ascii="標楷體" w:hAnsi="標楷體" w:eastAsia="標楷體"/>
          <w:bCs/>
          <w:sz w:val="40"/>
          <w:szCs w:val="40"/>
        </w:rPr>
        <w:t>「</w:t>
      </w:r>
      <w:bookmarkStart w:id="1" w:name="_Hlk201484756"/>
      <w:r>
        <w:rPr>
          <w:rFonts w:hint="eastAsia" w:ascii="標楷體" w:hAnsi="標楷體" w:eastAsia="標楷體"/>
          <w:bCs/>
          <w:sz w:val="40"/>
          <w:szCs w:val="40"/>
        </w:rPr>
        <w:t>2025年亞洲聯盟盃橄欖球錦標賽</w:t>
      </w:r>
      <w:bookmarkEnd w:id="1"/>
      <w:r>
        <w:rPr>
          <w:rFonts w:hint="eastAsia" w:ascii="標楷體" w:hAnsi="標楷體" w:eastAsia="標楷體"/>
          <w:bCs/>
          <w:sz w:val="40"/>
          <w:szCs w:val="40"/>
        </w:rPr>
        <w:t>-轉播採購案(</w:t>
      </w:r>
      <w:r>
        <w:rPr>
          <w:rFonts w:hint="eastAsia" w:ascii="標楷體" w:hAnsi="標楷體" w:eastAsia="標楷體"/>
          <w:bCs/>
          <w:color w:val="EE0000"/>
          <w:sz w:val="40"/>
          <w:szCs w:val="40"/>
        </w:rPr>
        <w:t>案號:114006)</w:t>
      </w:r>
      <w:r>
        <w:rPr>
          <w:rFonts w:hint="eastAsia" w:ascii="標楷體" w:hAnsi="標楷體" w:eastAsia="標楷體"/>
          <w:bCs/>
          <w:sz w:val="40"/>
          <w:szCs w:val="40"/>
        </w:rPr>
        <w:t>」(未達公告金額/無執照)</w:t>
      </w:r>
      <w:bookmarkEnd w:id="0"/>
      <w:r>
        <w:rPr>
          <w:rFonts w:hint="eastAsia" w:ascii="標楷體" w:hAnsi="標楷體" w:eastAsia="標楷體"/>
          <w:bCs/>
          <w:sz w:val="40"/>
          <w:szCs w:val="40"/>
        </w:rPr>
        <w:t>需求規範書</w:t>
      </w:r>
    </w:p>
    <w:p w14:paraId="29276194">
      <w:pPr>
        <w:numPr>
          <w:ilvl w:val="0"/>
          <w:numId w:val="1"/>
        </w:numPr>
        <w:adjustRightInd w:val="0"/>
        <w:snapToGrid w:val="0"/>
        <w:spacing w:before="180" w:beforeLines="50"/>
        <w:ind w:left="567" w:right="414" w:hanging="565"/>
        <w:rPr>
          <w:rFonts w:eastAsia="標楷體"/>
          <w:kern w:val="16"/>
          <w:sz w:val="28"/>
          <w:szCs w:val="28"/>
        </w:rPr>
      </w:pPr>
      <w:r>
        <w:rPr>
          <w:rFonts w:hint="eastAsia" w:eastAsia="標楷體"/>
          <w:kern w:val="16"/>
          <w:sz w:val="28"/>
          <w:szCs w:val="28"/>
        </w:rPr>
        <w:t>辦理案名：</w:t>
      </w:r>
      <w:bookmarkStart w:id="2" w:name="_Hlk163663452"/>
      <w:r>
        <w:rPr>
          <w:rFonts w:hint="eastAsia" w:ascii="標楷體" w:hAnsi="標楷體" w:eastAsia="標楷體"/>
          <w:bCs/>
          <w:sz w:val="28"/>
          <w:szCs w:val="28"/>
        </w:rPr>
        <w:t>中華民國橄欖球協會「2025年亞洲聯盟盃橄欖球錦標賽-轉播採購案」(</w:t>
      </w:r>
      <w:r>
        <w:rPr>
          <w:rFonts w:hint="eastAsia" w:ascii="標楷體" w:hAnsi="標楷體" w:eastAsia="標楷體"/>
          <w:bCs/>
          <w:color w:val="EE0000"/>
          <w:sz w:val="28"/>
          <w:szCs w:val="28"/>
        </w:rPr>
        <w:t>案號:114006</w:t>
      </w:r>
      <w:r>
        <w:rPr>
          <w:rFonts w:hint="eastAsia" w:ascii="標楷體" w:hAnsi="標楷體" w:eastAsia="標楷體"/>
          <w:bCs/>
          <w:sz w:val="28"/>
          <w:szCs w:val="28"/>
        </w:rPr>
        <w:t>)</w:t>
      </w:r>
      <w:bookmarkEnd w:id="2"/>
      <w:r>
        <w:rPr>
          <w:rFonts w:hint="eastAsia" w:ascii="標楷體" w:hAnsi="標楷體" w:eastAsia="標楷體"/>
          <w:bCs/>
          <w:sz w:val="28"/>
          <w:szCs w:val="28"/>
        </w:rPr>
        <w:t>(未達公告金額/無執照)</w:t>
      </w:r>
      <w:r>
        <w:rPr>
          <w:rFonts w:hint="eastAsia" w:eastAsia="標楷體"/>
          <w:kern w:val="16"/>
          <w:sz w:val="28"/>
          <w:szCs w:val="28"/>
        </w:rPr>
        <w:t>。</w:t>
      </w:r>
    </w:p>
    <w:p w14:paraId="52D75742">
      <w:pPr>
        <w:numPr>
          <w:ilvl w:val="0"/>
          <w:numId w:val="1"/>
        </w:numPr>
        <w:adjustRightInd w:val="0"/>
        <w:snapToGrid w:val="0"/>
        <w:spacing w:before="180" w:beforeLines="50" w:after="0" w:line="420" w:lineRule="exact"/>
        <w:ind w:left="567" w:right="414" w:hanging="567"/>
        <w:rPr>
          <w:rFonts w:ascii="標楷體" w:hAnsi="標楷體" w:eastAsia="標楷體"/>
          <w:sz w:val="28"/>
          <w:szCs w:val="28"/>
          <w:shd w:val="clear" w:color="auto" w:fill="FFFFFF" w:themeFill="background1"/>
        </w:rPr>
      </w:pPr>
      <w:r>
        <w:rPr>
          <w:rFonts w:hint="eastAsia" w:eastAsia="標楷體"/>
          <w:kern w:val="16"/>
          <w:sz w:val="28"/>
        </w:rPr>
        <w:t>採購標的說明與</w:t>
      </w:r>
      <w:r>
        <w:rPr>
          <w:rFonts w:hint="eastAsia" w:ascii="標楷體" w:hAnsi="標楷體" w:eastAsia="標楷體"/>
          <w:sz w:val="28"/>
          <w:szCs w:val="28"/>
          <w:shd w:val="clear" w:color="auto" w:fill="FFFFFF" w:themeFill="background1"/>
        </w:rPr>
        <w:t>規格：</w:t>
      </w:r>
    </w:p>
    <w:p w14:paraId="2A3B6029">
      <w:pPr>
        <w:pStyle w:val="6"/>
        <w:adjustRightInd w:val="0"/>
        <w:snapToGrid w:val="0"/>
        <w:spacing w:after="0" w:line="420" w:lineRule="exact"/>
        <w:ind w:left="850" w:leftChars="120" w:right="414" w:hanging="562" w:hangingChars="201"/>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一、具有完整及豐富的國際與國內各類運動賽事製播經驗包含橄欖球/籃網球/籃球/足球/舉重等各類轉播賽事團隊</w:t>
      </w:r>
    </w:p>
    <w:p w14:paraId="42E4CEED">
      <w:pPr>
        <w:pStyle w:val="6"/>
        <w:adjustRightInd w:val="0"/>
        <w:snapToGrid w:val="0"/>
        <w:spacing w:after="0" w:line="420" w:lineRule="exact"/>
        <w:ind w:left="1132" w:leftChars="178" w:right="414" w:hanging="705" w:hangingChars="252"/>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（一）影像提供：</w:t>
      </w:r>
    </w:p>
    <w:p w14:paraId="5EE31F41">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1、依據本會提供賽事內容執行現場之影像、音錄製播出及轉播訊</w:t>
      </w:r>
      <w:r>
        <w:rPr>
          <w:rFonts w:ascii="標楷體" w:hAnsi="標楷體"/>
          <w:color w:val="auto"/>
          <w:szCs w:val="28"/>
          <w:shd w:val="clear" w:color="auto" w:fill="FFFFFF" w:themeFill="background1"/>
        </w:rPr>
        <w:t>號</w:t>
      </w:r>
      <w:r>
        <w:rPr>
          <w:rFonts w:hint="eastAsia" w:ascii="標楷體" w:hAnsi="標楷體"/>
          <w:color w:val="auto"/>
          <w:szCs w:val="28"/>
          <w:shd w:val="clear" w:color="auto" w:fill="FFFFFF" w:themeFill="background1"/>
        </w:rPr>
        <w:t>源提供。</w:t>
      </w:r>
    </w:p>
    <w:p w14:paraId="4A32F38E">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2、得標廠商應將賽事轉播訊號於新媒體網路平台安排播出並提供本會相關播出頻道單位，並需提供轉播訊號源予本會授權之新媒體平台。</w:t>
      </w:r>
    </w:p>
    <w:p w14:paraId="31BA4753">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3</w:t>
      </w:r>
      <w:bookmarkStart w:id="3" w:name="_Hlk163547572"/>
      <w:r>
        <w:rPr>
          <w:rFonts w:hint="eastAsia" w:ascii="標楷體" w:hAnsi="標楷體"/>
          <w:color w:val="auto"/>
          <w:szCs w:val="28"/>
          <w:shd w:val="clear" w:color="auto" w:fill="FFFFFF" w:themeFill="background1"/>
        </w:rPr>
        <w:t>、</w:t>
      </w:r>
      <w:bookmarkEnd w:id="3"/>
      <w:r>
        <w:rPr>
          <w:rFonts w:hint="eastAsia" w:ascii="標楷體" w:hAnsi="標楷體"/>
          <w:color w:val="auto"/>
          <w:szCs w:val="28"/>
          <w:shd w:val="clear" w:color="auto" w:fill="FFFFFF" w:themeFill="background1"/>
        </w:rPr>
        <w:t>結束後，得標廠商須提供轉播賽事之轉播影片予本會。</w:t>
      </w:r>
    </w:p>
    <w:p w14:paraId="524F13CB">
      <w:pPr>
        <w:pStyle w:val="6"/>
        <w:adjustRightInd w:val="0"/>
        <w:snapToGrid w:val="0"/>
        <w:spacing w:after="0" w:line="420" w:lineRule="exact"/>
        <w:ind w:left="1132" w:leftChars="178" w:right="414" w:hanging="705" w:hangingChars="252"/>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（二）拍攝人力與設備需求：</w:t>
      </w:r>
    </w:p>
    <w:p w14:paraId="3EB72804">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ascii="標楷體" w:hAnsi="標楷體"/>
          <w:color w:val="auto"/>
          <w:szCs w:val="28"/>
          <w:shd w:val="clear" w:color="auto" w:fill="FFFFFF" w:themeFill="background1"/>
        </w:rPr>
        <w:t>1</w:t>
      </w:r>
      <w:r>
        <w:rPr>
          <w:rFonts w:hint="eastAsia" w:ascii="標楷體" w:hAnsi="標楷體"/>
          <w:color w:val="auto"/>
          <w:szCs w:val="28"/>
          <w:shd w:val="clear" w:color="auto" w:fill="FFFFFF" w:themeFill="background1"/>
        </w:rPr>
        <w:t>、製播人力需求：得標廠商至少需提供</w:t>
      </w:r>
      <w:r>
        <w:rPr>
          <w:rFonts w:ascii="標楷體" w:hAnsi="標楷體"/>
          <w:color w:val="auto"/>
          <w:szCs w:val="28"/>
          <w:shd w:val="clear" w:color="auto" w:fill="FFFFFF" w:themeFill="background1"/>
        </w:rPr>
        <w:t>1</w:t>
      </w:r>
      <w:r>
        <w:rPr>
          <w:rFonts w:hint="eastAsia" w:ascii="標楷體" w:hAnsi="標楷體"/>
          <w:color w:val="auto"/>
          <w:szCs w:val="28"/>
          <w:shd w:val="clear" w:color="auto" w:fill="FFFFFF" w:themeFill="background1"/>
        </w:rPr>
        <w:t>5名工作人員，包括導播</w:t>
      </w:r>
      <w:r>
        <w:rPr>
          <w:rFonts w:ascii="標楷體" w:hAnsi="標楷體"/>
          <w:color w:val="auto"/>
          <w:szCs w:val="28"/>
          <w:shd w:val="clear" w:color="auto" w:fill="FFFFFF" w:themeFill="background1"/>
        </w:rPr>
        <w:t>1</w:t>
      </w:r>
      <w:r>
        <w:rPr>
          <w:rFonts w:hint="eastAsia" w:ascii="標楷體" w:hAnsi="標楷體"/>
          <w:color w:val="auto"/>
          <w:szCs w:val="28"/>
          <w:shd w:val="clear" w:color="auto" w:fill="FFFFFF" w:themeFill="background1"/>
        </w:rPr>
        <w:t>名（須有橄欖球賽事轉播實務經險）、助理導播2名（高速慢動作</w:t>
      </w:r>
      <w:bookmarkStart w:id="4" w:name="_Hlk163547490"/>
      <w:r>
        <w:rPr>
          <w:rFonts w:hint="eastAsia" w:ascii="標楷體" w:hAnsi="標楷體"/>
          <w:color w:val="auto"/>
          <w:szCs w:val="28"/>
          <w:shd w:val="clear" w:color="auto" w:fill="FFFFFF" w:themeFill="background1"/>
        </w:rPr>
        <w:t>、</w:t>
      </w:r>
      <w:bookmarkEnd w:id="4"/>
      <w:r>
        <w:rPr>
          <w:rFonts w:hint="eastAsia" w:ascii="標楷體" w:hAnsi="標楷體"/>
          <w:color w:val="auto"/>
          <w:szCs w:val="28"/>
          <w:shd w:val="clear" w:color="auto" w:fill="FFFFFF" w:themeFill="background1"/>
        </w:rPr>
        <w:t>慢動作、字幕及現場助理導播</w:t>
      </w:r>
      <w:r>
        <w:rPr>
          <w:rFonts w:ascii="標楷體" w:hAnsi="標楷體"/>
          <w:color w:val="auto"/>
          <w:szCs w:val="28"/>
          <w:shd w:val="clear" w:color="auto" w:fill="FFFFFF" w:themeFill="background1"/>
        </w:rPr>
        <w:t xml:space="preserve"> </w:t>
      </w:r>
      <w:r>
        <w:rPr>
          <w:rFonts w:hint="eastAsia" w:ascii="標楷體" w:hAnsi="標楷體"/>
          <w:color w:val="auto"/>
          <w:szCs w:val="28"/>
          <w:shd w:val="clear" w:color="auto" w:fill="FFFFFF" w:themeFill="background1"/>
        </w:rPr>
        <w:t>各一人）、攝影師</w:t>
      </w:r>
      <w:r>
        <w:rPr>
          <w:rFonts w:ascii="標楷體" w:hAnsi="標楷體"/>
          <w:color w:val="auto"/>
          <w:szCs w:val="28"/>
          <w:shd w:val="clear" w:color="auto" w:fill="FFFFFF" w:themeFill="background1"/>
        </w:rPr>
        <w:t>7名</w:t>
      </w:r>
      <w:r>
        <w:rPr>
          <w:rFonts w:hint="eastAsia" w:ascii="標楷體" w:hAnsi="標楷體"/>
          <w:color w:val="auto"/>
          <w:szCs w:val="28"/>
          <w:shd w:val="clear" w:color="auto" w:fill="FFFFFF" w:themeFill="background1"/>
        </w:rPr>
        <w:t>、技術指導</w:t>
      </w:r>
      <w:r>
        <w:rPr>
          <w:rFonts w:ascii="標楷體" w:hAnsi="標楷體"/>
          <w:color w:val="auto"/>
          <w:szCs w:val="28"/>
          <w:shd w:val="clear" w:color="auto" w:fill="FFFFFF" w:themeFill="background1"/>
        </w:rPr>
        <w:t>1</w:t>
      </w:r>
      <w:r>
        <w:rPr>
          <w:rFonts w:hint="eastAsia" w:ascii="標楷體" w:hAnsi="標楷體"/>
          <w:color w:val="auto"/>
          <w:szCs w:val="28"/>
          <w:shd w:val="clear" w:color="auto" w:fill="FFFFFF" w:themeFill="background1"/>
        </w:rPr>
        <w:t>名、成音</w:t>
      </w:r>
      <w:r>
        <w:rPr>
          <w:rFonts w:ascii="標楷體" w:hAnsi="標楷體"/>
          <w:color w:val="auto"/>
          <w:szCs w:val="28"/>
          <w:shd w:val="clear" w:color="auto" w:fill="FFFFFF" w:themeFill="background1"/>
        </w:rPr>
        <w:t>2</w:t>
      </w:r>
      <w:r>
        <w:rPr>
          <w:rFonts w:hint="eastAsia" w:ascii="標楷體" w:hAnsi="標楷體"/>
          <w:color w:val="auto"/>
          <w:szCs w:val="28"/>
          <w:shd w:val="clear" w:color="auto" w:fill="FFFFFF" w:themeFill="background1"/>
        </w:rPr>
        <w:t>名、視訊工程</w:t>
      </w:r>
      <w:r>
        <w:rPr>
          <w:rFonts w:ascii="標楷體" w:hAnsi="標楷體"/>
          <w:color w:val="auto"/>
          <w:szCs w:val="28"/>
          <w:shd w:val="clear" w:color="auto" w:fill="FFFFFF" w:themeFill="background1"/>
        </w:rPr>
        <w:t>2</w:t>
      </w:r>
      <w:r>
        <w:rPr>
          <w:rFonts w:hint="eastAsia" w:ascii="標楷體" w:hAnsi="標楷體"/>
          <w:color w:val="auto"/>
          <w:szCs w:val="28"/>
          <w:shd w:val="clear" w:color="auto" w:fill="FFFFFF" w:themeFill="background1"/>
        </w:rPr>
        <w:t>名。</w:t>
      </w:r>
    </w:p>
    <w:p w14:paraId="3AB41151">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ascii="標楷體" w:hAnsi="標楷體"/>
          <w:color w:val="auto"/>
          <w:szCs w:val="28"/>
          <w:shd w:val="clear" w:color="auto" w:fill="FFFFFF" w:themeFill="background1"/>
        </w:rPr>
        <w:t>2</w:t>
      </w:r>
      <w:bookmarkStart w:id="5" w:name="_Hlk163547819"/>
      <w:r>
        <w:rPr>
          <w:rFonts w:hint="eastAsia" w:ascii="標楷體" w:hAnsi="標楷體"/>
          <w:color w:val="auto"/>
          <w:szCs w:val="28"/>
          <w:shd w:val="clear" w:color="auto" w:fill="FFFFFF" w:themeFill="background1"/>
        </w:rPr>
        <w:t>、</w:t>
      </w:r>
      <w:bookmarkEnd w:id="5"/>
      <w:r>
        <w:rPr>
          <w:rFonts w:hint="eastAsia" w:ascii="標楷體" w:hAnsi="標楷體"/>
          <w:color w:val="auto"/>
          <w:szCs w:val="28"/>
          <w:shd w:val="clear" w:color="auto" w:fill="FFFFFF" w:themeFill="background1"/>
        </w:rPr>
        <w:t>字幕鏡面需求：得標廠商須配合賽事鏡面製作，並須配合賽事節目拍攝內容。</w:t>
      </w:r>
    </w:p>
    <w:p w14:paraId="29092E2A">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ascii="標楷體" w:hAnsi="標楷體"/>
          <w:color w:val="auto"/>
          <w:szCs w:val="28"/>
          <w:shd w:val="clear" w:color="auto" w:fill="FFFFFF" w:themeFill="background1"/>
        </w:rPr>
        <w:t>3</w:t>
      </w:r>
      <w:bookmarkStart w:id="6" w:name="_Hlk163547841"/>
      <w:r>
        <w:rPr>
          <w:rFonts w:hint="eastAsia" w:ascii="標楷體" w:hAnsi="標楷體"/>
          <w:color w:val="auto"/>
          <w:szCs w:val="28"/>
          <w:shd w:val="clear" w:color="auto" w:fill="FFFFFF" w:themeFill="background1"/>
        </w:rPr>
        <w:t>、</w:t>
      </w:r>
      <w:bookmarkEnd w:id="6"/>
      <w:r>
        <w:rPr>
          <w:rFonts w:hint="eastAsia" w:ascii="標楷體" w:hAnsi="標楷體"/>
          <w:color w:val="auto"/>
          <w:szCs w:val="28"/>
          <w:shd w:val="clear" w:color="auto" w:fill="FFFFFF" w:themeFill="background1"/>
        </w:rPr>
        <w:t>得標廠商須於每日轉播作業前二小時，建構完成系統並測試完成，以利轉播作業</w:t>
      </w:r>
      <w:bookmarkStart w:id="7" w:name="_Hlk163548240"/>
      <w:r>
        <w:rPr>
          <w:rFonts w:hint="eastAsia" w:ascii="標楷體" w:hAnsi="標楷體"/>
          <w:color w:val="auto"/>
          <w:szCs w:val="28"/>
          <w:shd w:val="clear" w:color="auto" w:fill="FFFFFF" w:themeFill="background1"/>
        </w:rPr>
        <w:t>。</w:t>
      </w:r>
      <w:bookmarkEnd w:id="7"/>
    </w:p>
    <w:p w14:paraId="603CBDA6">
      <w:pPr>
        <w:pStyle w:val="6"/>
        <w:adjustRightInd w:val="0"/>
        <w:snapToGrid w:val="0"/>
        <w:spacing w:after="0" w:line="420" w:lineRule="exact"/>
        <w:ind w:left="1276" w:leftChars="354" w:right="414" w:hanging="426" w:firstLineChars="0"/>
        <w:jc w:val="both"/>
        <w:rPr>
          <w:rFonts w:ascii="標楷體" w:hAnsi="標楷體"/>
          <w:color w:val="auto"/>
          <w:szCs w:val="28"/>
          <w:shd w:val="clear" w:color="auto" w:fill="FFFFFF" w:themeFill="background1"/>
        </w:rPr>
      </w:pPr>
      <w:r>
        <w:rPr>
          <w:rFonts w:ascii="標楷體" w:hAnsi="標楷體"/>
          <w:color w:val="auto"/>
          <w:szCs w:val="28"/>
          <w:shd w:val="clear" w:color="auto" w:fill="FFFFFF" w:themeFill="background1"/>
        </w:rPr>
        <w:t>4</w:t>
      </w:r>
      <w:r>
        <w:rPr>
          <w:rFonts w:hint="eastAsia" w:ascii="標楷體" w:hAnsi="標楷體"/>
          <w:color w:val="auto"/>
          <w:szCs w:val="28"/>
          <w:shd w:val="clear" w:color="auto" w:fill="FFFFFF" w:themeFill="background1"/>
        </w:rPr>
        <w:t>、轉播設備規格需求：使用之器材設備須為同等级或優於以上規格。</w:t>
      </w:r>
    </w:p>
    <w:p w14:paraId="15447295">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(1)中華電信臨時有線網路(網路訊號穩定)。</w:t>
      </w:r>
    </w:p>
    <w:p w14:paraId="7DEC7978">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w:t>
      </w:r>
      <w:r>
        <w:rPr>
          <w:rFonts w:ascii="標楷體" w:hAnsi="標楷體"/>
          <w:color w:val="auto"/>
          <w:szCs w:val="28"/>
          <w:shd w:val="clear" w:color="auto" w:fill="FFFFFF" w:themeFill="background1"/>
        </w:rPr>
        <w:t>2</w:t>
      </w:r>
      <w:bookmarkStart w:id="8" w:name="_Hlk163548385"/>
      <w:r>
        <w:rPr>
          <w:rFonts w:hint="eastAsia" w:ascii="標楷體" w:hAnsi="標楷體"/>
          <w:color w:val="auto"/>
          <w:szCs w:val="28"/>
          <w:shd w:val="clear" w:color="auto" w:fill="FFFFFF" w:themeFill="background1"/>
        </w:rPr>
        <w:t>)</w:t>
      </w:r>
      <w:bookmarkEnd w:id="8"/>
      <w:r>
        <w:rPr>
          <w:rFonts w:hint="eastAsia" w:ascii="標楷體" w:hAnsi="標楷體"/>
          <w:color w:val="auto"/>
          <w:szCs w:val="28"/>
          <w:shd w:val="clear" w:color="auto" w:fill="FFFFFF" w:themeFill="background1"/>
        </w:rPr>
        <w:t>導播機系統一套，全數位</w:t>
      </w:r>
      <w:r>
        <w:rPr>
          <w:rFonts w:ascii="標楷體" w:hAnsi="標楷體"/>
          <w:color w:val="auto"/>
          <w:szCs w:val="28"/>
          <w:shd w:val="clear" w:color="auto" w:fill="FFFFFF" w:themeFill="background1"/>
        </w:rPr>
        <w:t>3M/E</w:t>
      </w:r>
      <w:r>
        <w:rPr>
          <w:rFonts w:hint="eastAsia" w:ascii="標楷體" w:hAnsi="標楷體"/>
          <w:color w:val="auto"/>
          <w:szCs w:val="28"/>
          <w:shd w:val="clear" w:color="auto" w:fill="FFFFFF" w:themeFill="background1"/>
        </w:rPr>
        <w:t>，</w:t>
      </w:r>
      <w:r>
        <w:rPr>
          <w:rFonts w:ascii="標楷體" w:hAnsi="標楷體"/>
          <w:color w:val="auto"/>
          <w:szCs w:val="28"/>
          <w:shd w:val="clear" w:color="auto" w:fill="FFFFFF" w:themeFill="background1"/>
        </w:rPr>
        <w:t>48</w:t>
      </w:r>
      <w:r>
        <w:rPr>
          <w:rFonts w:hint="eastAsia" w:ascii="標楷體" w:hAnsi="標楷體"/>
          <w:color w:val="auto"/>
          <w:szCs w:val="28"/>
          <w:shd w:val="clear" w:color="auto" w:fill="FFFFFF" w:themeFill="background1"/>
        </w:rPr>
        <w:t>個</w:t>
      </w:r>
      <w:r>
        <w:rPr>
          <w:rFonts w:ascii="標楷體" w:hAnsi="標楷體"/>
          <w:color w:val="auto"/>
          <w:szCs w:val="28"/>
          <w:shd w:val="clear" w:color="auto" w:fill="FFFFFF" w:themeFill="background1"/>
        </w:rPr>
        <w:t>HD</w:t>
      </w:r>
      <w:r>
        <w:rPr>
          <w:rFonts w:hint="eastAsia" w:ascii="標楷體" w:hAnsi="標楷體"/>
          <w:color w:val="auto"/>
          <w:szCs w:val="28"/>
          <w:shd w:val="clear" w:color="auto" w:fill="FFFFFF" w:themeFill="background1"/>
        </w:rPr>
        <w:t>輸入</w:t>
      </w:r>
      <w:r>
        <w:rPr>
          <w:rFonts w:ascii="標楷體" w:hAnsi="標楷體"/>
          <w:color w:val="auto"/>
          <w:szCs w:val="28"/>
          <w:shd w:val="clear" w:color="auto" w:fill="FFFFFF" w:themeFill="background1"/>
        </w:rPr>
        <w:t>32</w:t>
      </w:r>
      <w:r>
        <w:rPr>
          <w:rFonts w:hint="eastAsia" w:ascii="標楷體" w:hAnsi="標楷體"/>
          <w:color w:val="auto"/>
          <w:szCs w:val="28"/>
          <w:shd w:val="clear" w:color="auto" w:fill="FFFFFF" w:themeFill="background1"/>
        </w:rPr>
        <w:t>個</w:t>
      </w:r>
      <w:r>
        <w:rPr>
          <w:rFonts w:ascii="標楷體" w:hAnsi="標楷體"/>
          <w:color w:val="auto"/>
          <w:szCs w:val="28"/>
          <w:shd w:val="clear" w:color="auto" w:fill="FFFFFF" w:themeFill="background1"/>
        </w:rPr>
        <w:t>AU X</w:t>
      </w:r>
      <w:r>
        <w:rPr>
          <w:rFonts w:hint="eastAsia" w:ascii="標楷體" w:hAnsi="標楷體"/>
          <w:color w:val="auto"/>
          <w:szCs w:val="28"/>
          <w:shd w:val="clear" w:color="auto" w:fill="FFFFFF" w:themeFill="background1"/>
        </w:rPr>
        <w:t>輸出。</w:t>
      </w:r>
      <w:r>
        <w:rPr>
          <w:rFonts w:ascii="標楷體" w:hAnsi="標楷體"/>
          <w:color w:val="auto"/>
          <w:szCs w:val="28"/>
          <w:shd w:val="clear" w:color="auto" w:fill="FFFFFF" w:themeFill="background1"/>
        </w:rPr>
        <w:t xml:space="preserve"> </w:t>
      </w:r>
    </w:p>
    <w:p w14:paraId="73FCEB66">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(3</w:t>
      </w:r>
      <w:bookmarkStart w:id="9" w:name="_Hlk163548885"/>
      <w:r>
        <w:rPr>
          <w:rFonts w:hint="eastAsia" w:ascii="標楷體" w:hAnsi="標楷體"/>
          <w:color w:val="auto"/>
          <w:szCs w:val="28"/>
          <w:shd w:val="clear" w:color="auto" w:fill="FFFFFF" w:themeFill="background1"/>
        </w:rPr>
        <w:t>)</w:t>
      </w:r>
      <w:bookmarkEnd w:id="9"/>
      <w:r>
        <w:rPr>
          <w:rFonts w:hint="eastAsia" w:ascii="標楷體" w:hAnsi="標楷體"/>
          <w:color w:val="auto"/>
          <w:szCs w:val="28"/>
          <w:shd w:val="clear" w:color="auto" w:fill="FFFFFF" w:themeFill="background1"/>
        </w:rPr>
        <w:t>HD以上高速慢動作及慢動作 設備各一套。</w:t>
      </w:r>
    </w:p>
    <w:p w14:paraId="48DF9D2B">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bookmarkStart w:id="10" w:name="_Hlk163549208"/>
      <w:r>
        <w:rPr>
          <w:rFonts w:hint="eastAsia" w:ascii="標楷體" w:hAnsi="標楷體"/>
          <w:color w:val="auto"/>
          <w:szCs w:val="28"/>
          <w:shd w:val="clear" w:color="auto" w:fill="FFFFFF" w:themeFill="background1"/>
        </w:rPr>
        <w:t>(4</w:t>
      </w:r>
      <w:bookmarkStart w:id="11" w:name="_Hlk163549192"/>
      <w:r>
        <w:rPr>
          <w:rFonts w:hint="eastAsia" w:ascii="標楷體" w:hAnsi="標楷體"/>
          <w:color w:val="auto"/>
          <w:szCs w:val="28"/>
          <w:shd w:val="clear" w:color="auto" w:fill="FFFFFF" w:themeFill="background1"/>
        </w:rPr>
        <w:t>)</w:t>
      </w:r>
      <w:bookmarkEnd w:id="10"/>
      <w:bookmarkEnd w:id="11"/>
      <w:r>
        <w:rPr>
          <w:rFonts w:hint="eastAsia" w:ascii="標楷體" w:hAnsi="標楷體"/>
          <w:color w:val="auto"/>
          <w:szCs w:val="28"/>
          <w:shd w:val="clear" w:color="auto" w:fill="FFFFFF" w:themeFill="background1"/>
        </w:rPr>
        <w:t>攝影機系統4套16bit /3吋 CCD- HD電子攝影機，所有攝影機均須搭缸標準 CCU 及 RCP。</w:t>
      </w:r>
    </w:p>
    <w:p w14:paraId="459D50DD">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(5</w:t>
      </w:r>
      <w:bookmarkStart w:id="12" w:name="_Hlk163549308"/>
      <w:r>
        <w:rPr>
          <w:rFonts w:hint="eastAsia" w:ascii="標楷體" w:hAnsi="標楷體"/>
          <w:color w:val="auto"/>
          <w:szCs w:val="28"/>
          <w:shd w:val="clear" w:color="auto" w:fill="FFFFFF" w:themeFill="background1"/>
        </w:rPr>
        <w:t>)</w:t>
      </w:r>
      <w:r>
        <w:rPr>
          <w:rFonts w:ascii="標楷體" w:hAnsi="標楷體"/>
          <w:color w:val="auto"/>
          <w:szCs w:val="28"/>
          <w:shd w:val="clear" w:color="auto" w:fill="FFFFFF" w:themeFill="background1"/>
        </w:rPr>
        <w:tab/>
      </w:r>
      <w:bookmarkEnd w:id="12"/>
      <w:r>
        <w:rPr>
          <w:rFonts w:hint="eastAsia" w:ascii="標楷體" w:hAnsi="標楷體"/>
          <w:color w:val="auto"/>
          <w:szCs w:val="28"/>
          <w:shd w:val="clear" w:color="auto" w:fill="FFFFFF" w:themeFill="background1"/>
        </w:rPr>
        <w:t>攝影機腳架及雲台4套需承載重量達12公斤以上 。</w:t>
      </w:r>
    </w:p>
    <w:p w14:paraId="3F340ABF">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(6)</w:t>
      </w:r>
      <w:r>
        <w:rPr>
          <w:rFonts w:ascii="標楷體" w:hAnsi="標楷體"/>
          <w:color w:val="auto"/>
          <w:szCs w:val="28"/>
          <w:shd w:val="clear" w:color="auto" w:fill="FFFFFF" w:themeFill="background1"/>
        </w:rPr>
        <w:tab/>
      </w:r>
      <w:r>
        <w:rPr>
          <w:rFonts w:hint="eastAsia" w:ascii="標楷體" w:hAnsi="標楷體"/>
          <w:color w:val="auto"/>
          <w:szCs w:val="28"/>
          <w:shd w:val="clear" w:color="auto" w:fill="FFFFFF" w:themeFill="background1"/>
        </w:rPr>
        <w:t>HD電腦可輸出圖卡字幕機一組</w:t>
      </w:r>
      <w:r>
        <w:rPr>
          <w:rFonts w:ascii="標楷體" w:hAnsi="標楷體"/>
          <w:color w:val="auto"/>
          <w:szCs w:val="28"/>
          <w:shd w:val="clear" w:color="auto" w:fill="FFFFFF" w:themeFill="background1"/>
        </w:rPr>
        <w:t>(</w:t>
      </w:r>
      <w:r>
        <w:rPr>
          <w:rFonts w:hint="eastAsia" w:ascii="標楷體" w:hAnsi="標楷體"/>
          <w:color w:val="auto"/>
          <w:szCs w:val="28"/>
          <w:shd w:val="clear" w:color="auto" w:fill="FFFFFF" w:themeFill="background1"/>
        </w:rPr>
        <w:t>內含字幕軟體）。</w:t>
      </w:r>
    </w:p>
    <w:p w14:paraId="4A8D20C5">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(7)</w:t>
      </w:r>
      <w:r>
        <w:rPr>
          <w:rFonts w:ascii="標楷體" w:hAnsi="標楷體"/>
          <w:color w:val="auto"/>
          <w:szCs w:val="28"/>
          <w:shd w:val="clear" w:color="auto" w:fill="FFFFFF" w:themeFill="background1"/>
        </w:rPr>
        <w:tab/>
      </w:r>
      <w:r>
        <w:rPr>
          <w:rFonts w:hint="eastAsia" w:ascii="標楷體" w:hAnsi="標楷體"/>
          <w:color w:val="auto"/>
          <w:szCs w:val="28"/>
          <w:shd w:val="clear" w:color="auto" w:fill="FFFFFF" w:themeFill="background1"/>
        </w:rPr>
        <w:t>對講系统一套須能提供主播</w:t>
      </w:r>
      <w:bookmarkStart w:id="13" w:name="_Hlk163549573"/>
      <w:r>
        <w:rPr>
          <w:rFonts w:hint="eastAsia" w:ascii="標楷體" w:hAnsi="標楷體"/>
          <w:color w:val="auto"/>
          <w:szCs w:val="28"/>
          <w:shd w:val="clear" w:color="auto" w:fill="FFFFFF" w:themeFill="background1"/>
        </w:rPr>
        <w:t>、</w:t>
      </w:r>
      <w:bookmarkEnd w:id="13"/>
      <w:r>
        <w:rPr>
          <w:rFonts w:hint="eastAsia" w:ascii="標楷體" w:hAnsi="標楷體"/>
          <w:color w:val="auto"/>
          <w:szCs w:val="28"/>
          <w:shd w:val="clear" w:color="auto" w:fill="FFFFFF" w:themeFill="background1"/>
        </w:rPr>
        <w:t>攝影師通訊對講需求。</w:t>
      </w:r>
    </w:p>
    <w:p w14:paraId="232F082D">
      <w:pPr>
        <w:pStyle w:val="6"/>
        <w:adjustRightInd w:val="0"/>
        <w:snapToGrid w:val="0"/>
        <w:spacing w:after="0" w:line="420" w:lineRule="exact"/>
        <w:ind w:left="1416" w:leftChars="413" w:right="414" w:hanging="425" w:firstLineChars="0"/>
        <w:jc w:val="both"/>
        <w:rPr>
          <w:rFonts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(8)成音設備一套輸入24迴路（含以上）輸出16迴路（含以上）之</w:t>
      </w:r>
      <w:r>
        <w:rPr>
          <w:rFonts w:ascii="標楷體" w:hAnsi="標楷體"/>
          <w:color w:val="auto"/>
          <w:szCs w:val="28"/>
          <w:shd w:val="clear" w:color="auto" w:fill="FFFFFF" w:themeFill="background1"/>
        </w:rPr>
        <w:t>混音機</w:t>
      </w:r>
      <w:r>
        <w:rPr>
          <w:rFonts w:hint="eastAsia" w:ascii="標楷體" w:hAnsi="標楷體"/>
          <w:color w:val="auto"/>
          <w:szCs w:val="28"/>
          <w:shd w:val="clear" w:color="auto" w:fill="FFFFFF" w:themeFill="background1"/>
        </w:rPr>
        <w:t>/AUDIO專業收音MIC8支以上，包含主播及球評收音頭掛式麥克風設備。</w:t>
      </w:r>
    </w:p>
    <w:p w14:paraId="5E595B52">
      <w:pPr>
        <w:pStyle w:val="6"/>
        <w:adjustRightInd w:val="0"/>
        <w:snapToGrid w:val="0"/>
        <w:spacing w:after="0" w:line="420" w:lineRule="exact"/>
        <w:ind w:left="1416" w:leftChars="413" w:right="414" w:hanging="425" w:firstLineChars="0"/>
        <w:jc w:val="both"/>
        <w:rPr>
          <w:rFonts w:hint="eastAsia" w:ascii="標楷體" w:hAnsi="標楷體"/>
          <w:color w:val="auto"/>
          <w:szCs w:val="28"/>
          <w:shd w:val="clear" w:color="auto" w:fill="FFFFFF" w:themeFill="background1"/>
        </w:rPr>
      </w:pPr>
      <w:r>
        <w:rPr>
          <w:rFonts w:hint="eastAsia" w:ascii="標楷體" w:hAnsi="標楷體"/>
          <w:color w:val="auto"/>
          <w:szCs w:val="28"/>
          <w:shd w:val="clear" w:color="auto" w:fill="FFFFFF" w:themeFill="background1"/>
        </w:rPr>
        <w:t>(9)所有轉播所需相關監視器。</w:t>
      </w:r>
    </w:p>
    <w:p w14:paraId="0BC54C73">
      <w:pPr>
        <w:pStyle w:val="6"/>
        <w:adjustRightInd w:val="0"/>
        <w:snapToGrid w:val="0"/>
        <w:spacing w:after="0" w:line="420" w:lineRule="exact"/>
        <w:ind w:left="1416" w:leftChars="413" w:right="414" w:hanging="425" w:firstLineChars="0"/>
        <w:jc w:val="both"/>
        <w:rPr>
          <w:rFonts w:hint="eastAsia" w:ascii="標楷體" w:hAnsi="標楷體"/>
          <w:color w:val="auto"/>
          <w:szCs w:val="28"/>
          <w:shd w:val="clear" w:color="auto" w:fill="FFFFFF" w:themeFill="background1"/>
          <w:lang w:val="en-US" w:eastAsia="zh-TW"/>
        </w:rPr>
      </w:pPr>
      <w:r>
        <w:rPr>
          <w:rFonts w:hint="eastAsia" w:ascii="標楷體" w:hAnsi="標楷體"/>
          <w:color w:val="auto"/>
          <w:szCs w:val="28"/>
          <w:shd w:val="clear" w:color="auto" w:fill="FFFFFF" w:themeFill="background1"/>
          <w:lang w:val="en-US" w:eastAsia="zh-TW"/>
        </w:rPr>
        <w:t>(三)轉播期間:</w:t>
      </w:r>
    </w:p>
    <w:p w14:paraId="700D1987">
      <w:pPr>
        <w:pStyle w:val="6"/>
        <w:adjustRightInd w:val="0"/>
        <w:snapToGrid w:val="0"/>
        <w:spacing w:after="0" w:line="420" w:lineRule="exact"/>
        <w:ind w:left="1416" w:leftChars="413" w:right="414" w:hanging="425" w:firstLineChars="0"/>
        <w:jc w:val="both"/>
        <w:rPr>
          <w:rFonts w:hint="eastAsia" w:ascii="標楷體" w:hAnsi="標楷體"/>
          <w:color w:val="auto"/>
          <w:szCs w:val="28"/>
          <w:shd w:val="clear" w:color="auto" w:fill="FFFFFF" w:themeFill="background1"/>
          <w:lang w:val="en-US" w:eastAsia="zh-TW"/>
        </w:rPr>
      </w:pPr>
      <w:r>
        <w:rPr>
          <w:rFonts w:hint="eastAsia" w:ascii="標楷體" w:hAnsi="標楷體"/>
          <w:color w:val="auto"/>
          <w:szCs w:val="28"/>
          <w:shd w:val="clear" w:color="auto" w:fill="FFFFFF" w:themeFill="background1"/>
          <w:lang w:val="en-US" w:eastAsia="zh-TW"/>
        </w:rPr>
        <w:t>比賽期間:114/7/9及7/12，比賽隊數4隊</w:t>
      </w:r>
    </w:p>
    <w:p w14:paraId="0B94C1D2">
      <w:pPr>
        <w:pStyle w:val="6"/>
        <w:adjustRightInd w:val="0"/>
        <w:snapToGrid w:val="0"/>
        <w:spacing w:after="0" w:line="420" w:lineRule="exact"/>
        <w:ind w:left="1416" w:leftChars="413" w:right="414" w:hanging="425" w:firstLineChars="0"/>
        <w:jc w:val="both"/>
        <w:rPr>
          <w:rFonts w:hint="default" w:ascii="標楷體" w:hAnsi="標楷體"/>
          <w:color w:val="auto"/>
          <w:szCs w:val="28"/>
          <w:shd w:val="clear" w:color="auto" w:fill="FFFFFF" w:themeFill="background1"/>
          <w:lang w:val="en-US" w:eastAsia="zh-TW"/>
        </w:rPr>
      </w:pPr>
      <w:r>
        <w:rPr>
          <w:rFonts w:hint="eastAsia" w:ascii="標楷體" w:hAnsi="標楷體"/>
          <w:color w:val="auto"/>
          <w:szCs w:val="28"/>
          <w:shd w:val="clear" w:color="auto" w:fill="FFFFFF" w:themeFill="background1"/>
          <w:lang w:val="en-US" w:eastAsia="zh-TW"/>
        </w:rPr>
        <w:t>轉播日期:114/7/9及7/12共2場</w:t>
      </w:r>
    </w:p>
    <w:p w14:paraId="251142BD">
      <w:pPr>
        <w:numPr>
          <w:ilvl w:val="0"/>
          <w:numId w:val="1"/>
        </w:numPr>
        <w:adjustRightInd w:val="0"/>
        <w:snapToGrid w:val="0"/>
        <w:spacing w:before="180" w:beforeLines="50" w:after="0" w:line="420" w:lineRule="exact"/>
        <w:ind w:left="567" w:right="414" w:hanging="567"/>
        <w:rPr>
          <w:rFonts w:ascii="標楷體" w:hAnsi="標楷體" w:eastAsia="標楷體"/>
          <w:kern w:val="16"/>
          <w:sz w:val="28"/>
          <w:szCs w:val="28"/>
          <w:shd w:val="clear" w:color="auto" w:fill="FFFFFF" w:themeFill="background1"/>
        </w:rPr>
      </w:pPr>
      <w:r>
        <w:rPr>
          <w:rFonts w:hint="eastAsia" w:ascii="標楷體" w:hAnsi="標楷體" w:eastAsia="標楷體"/>
          <w:kern w:val="16"/>
          <w:sz w:val="28"/>
          <w:szCs w:val="28"/>
          <w:shd w:val="clear" w:color="auto" w:fill="FFFFFF" w:themeFill="background1"/>
        </w:rPr>
        <w:t>採購金額及期程：</w:t>
      </w:r>
    </w:p>
    <w:p w14:paraId="223A205B">
      <w:pPr>
        <w:pStyle w:val="6"/>
        <w:numPr>
          <w:ilvl w:val="0"/>
          <w:numId w:val="2"/>
        </w:numPr>
        <w:tabs>
          <w:tab w:val="left" w:pos="851"/>
        </w:tabs>
        <w:adjustRightInd w:val="0"/>
        <w:snapToGrid w:val="0"/>
        <w:spacing w:line="420" w:lineRule="exact"/>
        <w:ind w:left="900" w:leftChars="0" w:right="414" w:hanging="660" w:firstLineChars="0"/>
        <w:rPr>
          <w:rFonts w:ascii="標楷體" w:hAnsi="標楷體"/>
          <w:color w:val="auto"/>
          <w:kern w:val="16"/>
          <w:szCs w:val="28"/>
          <w:shd w:val="clear" w:color="auto" w:fill="FFFFFF" w:themeFill="background1"/>
        </w:rPr>
      </w:pPr>
      <w:r>
        <w:rPr>
          <w:rFonts w:hint="eastAsia" w:ascii="標楷體" w:hAnsi="標楷體"/>
          <w:color w:val="auto"/>
          <w:kern w:val="16"/>
          <w:szCs w:val="28"/>
          <w:shd w:val="clear" w:color="auto" w:fill="FFFFFF" w:themeFill="background1"/>
        </w:rPr>
        <w:t>本案採購金額新臺幣</w:t>
      </w:r>
      <w:r>
        <w:rPr>
          <w:rFonts w:hint="eastAsia" w:ascii="標楷體" w:hAnsi="標楷體"/>
          <w:color w:val="FF0000"/>
          <w:kern w:val="16"/>
          <w:szCs w:val="28"/>
          <w:shd w:val="clear" w:color="auto" w:fill="FFFFFF" w:themeFill="background1"/>
        </w:rPr>
        <w:t>53</w:t>
      </w:r>
      <w:r>
        <w:rPr>
          <w:rFonts w:hint="eastAsia" w:ascii="標楷體" w:hAnsi="標楷體"/>
          <w:color w:val="auto"/>
          <w:kern w:val="16"/>
          <w:szCs w:val="28"/>
          <w:shd w:val="clear" w:color="auto" w:fill="FFFFFF" w:themeFill="background1"/>
        </w:rPr>
        <w:t>萬元整（未稅，依實際決算金額為準）。</w:t>
      </w:r>
    </w:p>
    <w:p w14:paraId="2AF818C7">
      <w:pPr>
        <w:pStyle w:val="6"/>
        <w:numPr>
          <w:ilvl w:val="0"/>
          <w:numId w:val="2"/>
        </w:numPr>
        <w:tabs>
          <w:tab w:val="left" w:pos="851"/>
        </w:tabs>
        <w:adjustRightInd w:val="0"/>
        <w:snapToGrid w:val="0"/>
        <w:spacing w:line="420" w:lineRule="exact"/>
        <w:ind w:left="900" w:leftChars="0" w:right="414" w:hanging="660" w:firstLineChars="0"/>
        <w:rPr>
          <w:rFonts w:ascii="標楷體" w:hAnsi="標楷體"/>
          <w:color w:val="auto"/>
          <w:kern w:val="16"/>
          <w:szCs w:val="28"/>
          <w:shd w:val="clear" w:color="auto" w:fill="FFFFFF" w:themeFill="background1"/>
        </w:rPr>
      </w:pPr>
      <w:r>
        <w:rPr>
          <w:rFonts w:hint="eastAsia" w:ascii="標楷體" w:hAnsi="標楷體"/>
          <w:color w:val="auto"/>
          <w:kern w:val="16"/>
          <w:szCs w:val="28"/>
        </w:rPr>
        <w:t>履約期間：自決標翌日起至</w:t>
      </w:r>
      <w:r>
        <w:rPr>
          <w:rFonts w:hint="eastAsia" w:ascii="標楷體" w:hAnsi="標楷體"/>
          <w:color w:val="EE0000"/>
          <w:kern w:val="16"/>
          <w:szCs w:val="28"/>
        </w:rPr>
        <w:t>114年8月31日止</w:t>
      </w:r>
    </w:p>
    <w:p w14:paraId="0ADB5C58">
      <w:pPr>
        <w:pStyle w:val="6"/>
        <w:numPr>
          <w:ilvl w:val="0"/>
          <w:numId w:val="2"/>
        </w:numPr>
        <w:tabs>
          <w:tab w:val="left" w:pos="851"/>
        </w:tabs>
        <w:adjustRightInd w:val="0"/>
        <w:snapToGrid w:val="0"/>
        <w:spacing w:line="420" w:lineRule="exact"/>
        <w:ind w:left="900" w:leftChars="0" w:right="414" w:hanging="660" w:firstLineChars="0"/>
        <w:rPr>
          <w:color w:val="auto"/>
          <w:kern w:val="16"/>
          <w:szCs w:val="24"/>
          <w:shd w:val="clear" w:color="auto" w:fill="FFFFFF" w:themeFill="background1"/>
        </w:rPr>
      </w:pPr>
      <w:r>
        <w:rPr>
          <w:rFonts w:hint="eastAsia" w:ascii="標楷體" w:hAnsi="標楷體"/>
          <w:color w:val="auto"/>
          <w:kern w:val="16"/>
          <w:szCs w:val="28"/>
          <w:shd w:val="clear" w:color="auto" w:fill="FFFFFF" w:themeFill="background1"/>
        </w:rPr>
        <w:t>撥款方式：</w:t>
      </w:r>
      <w:bookmarkStart w:id="14" w:name="_Hlk124324809"/>
      <w:r>
        <w:rPr>
          <w:rFonts w:hint="eastAsia" w:ascii="標楷體" w:hAnsi="標楷體"/>
          <w:color w:val="auto"/>
          <w:kern w:val="16"/>
          <w:szCs w:val="28"/>
          <w:shd w:val="clear" w:color="auto" w:fill="FFFFFF" w:themeFill="background1"/>
        </w:rPr>
        <w:t>履約屆滿結算付款，得標廠商須檢附發票</w:t>
      </w:r>
      <w:bookmarkEnd w:id="14"/>
      <w:r>
        <w:rPr>
          <w:rFonts w:hint="eastAsia"/>
          <w:color w:val="3333FF"/>
          <w:kern w:val="16"/>
          <w:szCs w:val="24"/>
          <w:shd w:val="clear" w:color="auto" w:fill="FFFFFF" w:themeFill="background1"/>
        </w:rPr>
        <w:t>。</w:t>
      </w:r>
    </w:p>
    <w:p w14:paraId="1C724B7A">
      <w:pPr>
        <w:numPr>
          <w:ilvl w:val="0"/>
          <w:numId w:val="1"/>
        </w:numPr>
        <w:adjustRightInd w:val="0"/>
        <w:snapToGrid w:val="0"/>
        <w:spacing w:before="180" w:beforeLines="50" w:after="0" w:line="420" w:lineRule="exact"/>
        <w:ind w:left="567" w:right="414" w:hanging="567"/>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14:paraId="67C640F0">
      <w:pPr>
        <w:spacing w:after="0" w:line="480" w:lineRule="exact"/>
        <w:ind w:left="566" w:leftChars="236"/>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依法登記立案之公司或行號、法人、機構或團體，依相關證明文件得提供機關電視業、電視節目製作業或衛星頻道節目供應事業得以承辦相關節目製作、轉播之相關業務者。</w:t>
      </w:r>
    </w:p>
    <w:p w14:paraId="3BB62B2D">
      <w:pPr>
        <w:numPr>
          <w:ilvl w:val="0"/>
          <w:numId w:val="1"/>
        </w:numPr>
        <w:adjustRightInd w:val="0"/>
        <w:snapToGrid w:val="0"/>
        <w:spacing w:before="180" w:beforeLines="50" w:after="0" w:line="420" w:lineRule="exact"/>
        <w:ind w:left="567" w:right="414" w:hanging="567"/>
        <w:rPr>
          <w:rFonts w:ascii="標楷體" w:hAnsi="標楷體" w:eastAsia="標楷體"/>
          <w:kern w:val="0"/>
          <w:sz w:val="28"/>
          <w:szCs w:val="28"/>
        </w:rPr>
      </w:pPr>
      <w:r>
        <w:rPr>
          <w:rFonts w:hint="eastAsia" w:ascii="標楷體" w:hAnsi="標楷體" w:eastAsia="標楷體"/>
          <w:kern w:val="16"/>
          <w:sz w:val="28"/>
          <w:szCs w:val="28"/>
        </w:rPr>
        <w:t>付款方式及驗收：</w:t>
      </w:r>
      <w:r>
        <w:rPr>
          <w:rFonts w:hint="eastAsia" w:ascii="標楷體" w:hAnsi="標楷體" w:eastAsia="標楷體"/>
          <w:kern w:val="16"/>
          <w:sz w:val="28"/>
          <w:szCs w:val="28"/>
          <w:shd w:val="clear" w:color="auto" w:fill="FFFFFF"/>
        </w:rPr>
        <w:t>履約屆滿結算付款，得標廠商須附發票</w:t>
      </w:r>
      <w:r>
        <w:rPr>
          <w:rFonts w:hint="eastAsia" w:ascii="標楷體" w:hAnsi="標楷體" w:eastAsia="標楷體"/>
          <w:kern w:val="0"/>
          <w:sz w:val="28"/>
          <w:szCs w:val="28"/>
        </w:rPr>
        <w:t>送交本會。</w:t>
      </w:r>
    </w:p>
    <w:p w14:paraId="56A33E14">
      <w:pPr>
        <w:spacing w:line="480" w:lineRule="exact"/>
        <w:ind w:left="476" w:leftChars="118" w:hanging="193" w:hangingChars="69"/>
        <w:rPr>
          <w:rFonts w:ascii="標楷體" w:hAnsi="標楷體" w:eastAsia="標楷體"/>
          <w:kern w:val="0"/>
          <w:sz w:val="28"/>
          <w:szCs w:val="28"/>
        </w:rPr>
      </w:pPr>
      <w:r>
        <w:rPr>
          <w:rFonts w:hint="eastAsia" w:ascii="標楷體" w:hAnsi="標楷體" w:eastAsia="標楷體"/>
          <w:kern w:val="0"/>
          <w:sz w:val="28"/>
          <w:szCs w:val="28"/>
        </w:rPr>
        <w:t>一、驗收：</w:t>
      </w:r>
    </w:p>
    <w:p w14:paraId="4F917236">
      <w:pPr>
        <w:spacing w:after="0" w:line="480" w:lineRule="exact"/>
        <w:ind w:left="566" w:leftChars="236"/>
        <w:rPr>
          <w:rFonts w:ascii="標楷體" w:hAnsi="標楷體" w:eastAsia="標楷體"/>
          <w:kern w:val="0"/>
          <w:sz w:val="28"/>
          <w:szCs w:val="28"/>
        </w:rPr>
      </w:pPr>
      <w:r>
        <w:rPr>
          <w:rFonts w:hint="eastAsia" w:ascii="標楷體" w:hAnsi="標楷體" w:eastAsia="標楷體"/>
          <w:kern w:val="0"/>
          <w:sz w:val="28"/>
          <w:szCs w:val="28"/>
        </w:rPr>
        <w:t>依據中華民橄欖球協會「2025年亞洲聯盟盃橄欖球錦標賽」賽事專業拍攝</w:t>
      </w:r>
      <w:r>
        <w:rPr>
          <w:rFonts w:ascii="標楷體" w:hAnsi="標楷體" w:eastAsia="標楷體"/>
          <w:kern w:val="0"/>
          <w:sz w:val="28"/>
          <w:szCs w:val="28"/>
        </w:rPr>
        <w:t xml:space="preserve"> </w:t>
      </w:r>
      <w:r>
        <w:rPr>
          <w:rFonts w:hint="eastAsia" w:ascii="標楷體" w:hAnsi="標楷體" w:eastAsia="標楷體"/>
          <w:kern w:val="0"/>
          <w:sz w:val="28"/>
          <w:szCs w:val="28"/>
        </w:rPr>
        <w:t>製作服務案提供</w:t>
      </w:r>
      <w:r>
        <w:rPr>
          <w:rFonts w:hint="eastAsia" w:ascii="標楷體" w:hAnsi="標楷體" w:eastAsia="標楷體"/>
          <w:sz w:val="28"/>
          <w:szCs w:val="28"/>
          <w:shd w:val="clear" w:color="auto" w:fill="FFFFFF" w:themeFill="background1"/>
        </w:rPr>
        <w:t>現場</w:t>
      </w:r>
      <w:r>
        <w:rPr>
          <w:rFonts w:hint="eastAsia" w:ascii="標楷體" w:hAnsi="標楷體" w:eastAsia="標楷體"/>
          <w:kern w:val="0"/>
          <w:sz w:val="28"/>
          <w:szCs w:val="28"/>
        </w:rPr>
        <w:t>錄影丶頻道播出，於履約屆滿前經認定符合招標文件相關規定後，得標廠商應備文製據（或檢具统一發票）向本會辦理撥付事宜。</w:t>
      </w:r>
    </w:p>
    <w:p w14:paraId="19D75F81">
      <w:pPr>
        <w:spacing w:line="480" w:lineRule="exact"/>
        <w:ind w:left="476" w:leftChars="118" w:hanging="193" w:hangingChars="69"/>
        <w:rPr>
          <w:rFonts w:ascii="標楷體" w:hAnsi="標楷體" w:eastAsia="標楷體"/>
          <w:kern w:val="0"/>
          <w:sz w:val="28"/>
          <w:szCs w:val="28"/>
        </w:rPr>
      </w:pPr>
      <w:r>
        <w:rPr>
          <w:rFonts w:hint="eastAsia" w:ascii="標楷體" w:hAnsi="標楷體" w:eastAsia="標楷體"/>
          <w:kern w:val="0"/>
          <w:sz w:val="28"/>
          <w:szCs w:val="28"/>
        </w:rPr>
        <w:t>二、契約價金給付：</w:t>
      </w:r>
    </w:p>
    <w:p w14:paraId="7677A230">
      <w:pPr>
        <w:spacing w:after="0" w:line="480" w:lineRule="exact"/>
        <w:ind w:left="566" w:leftChars="236"/>
        <w:rPr>
          <w:rFonts w:ascii="標楷體" w:hAnsi="標楷體" w:eastAsia="標楷體"/>
          <w:kern w:val="0"/>
          <w:sz w:val="28"/>
          <w:szCs w:val="28"/>
        </w:rPr>
      </w:pPr>
      <w:r>
        <w:rPr>
          <w:rFonts w:hint="eastAsia" w:ascii="標楷體" w:hAnsi="標楷體" w:eastAsia="標楷體"/>
          <w:kern w:val="0"/>
          <w:sz w:val="28"/>
          <w:szCs w:val="28"/>
        </w:rPr>
        <w:t>視本案補助機關（教育部體育署）撥付款項後一次性支付。</w:t>
      </w:r>
    </w:p>
    <w:p w14:paraId="669612D5">
      <w:pPr>
        <w:spacing w:line="480" w:lineRule="exact"/>
        <w:ind w:left="479" w:leftChars="119" w:hanging="193" w:hangingChars="69"/>
        <w:rPr>
          <w:rFonts w:ascii="標楷體" w:hAnsi="標楷體" w:eastAsia="標楷體"/>
          <w:kern w:val="0"/>
          <w:sz w:val="28"/>
          <w:szCs w:val="28"/>
        </w:rPr>
      </w:pPr>
      <w:r>
        <w:rPr>
          <w:rFonts w:hint="eastAsia" w:ascii="標楷體" w:hAnsi="標楷體" w:eastAsia="標楷體"/>
          <w:kern w:val="0"/>
          <w:sz w:val="28"/>
          <w:szCs w:val="28"/>
        </w:rPr>
        <w:t>三、罰款：</w:t>
      </w:r>
    </w:p>
    <w:p w14:paraId="265D57E9">
      <w:pPr>
        <w:spacing w:after="0" w:line="480" w:lineRule="exact"/>
        <w:ind w:left="566" w:leftChars="236"/>
        <w:rPr>
          <w:rFonts w:ascii="標楷體" w:hAnsi="標楷體" w:eastAsia="標楷體"/>
          <w:kern w:val="0"/>
          <w:sz w:val="28"/>
          <w:szCs w:val="28"/>
        </w:rPr>
      </w:pPr>
      <w:r>
        <w:rPr>
          <w:rFonts w:hint="eastAsia" w:ascii="標楷體" w:hAnsi="標楷體" w:eastAsia="標楷體"/>
          <w:kern w:val="0"/>
          <w:sz w:val="28"/>
          <w:szCs w:val="28"/>
        </w:rPr>
        <w:t>得標廠商</w:t>
      </w:r>
      <w:r>
        <w:rPr>
          <w:rFonts w:hint="eastAsia" w:ascii="標楷體" w:hAnsi="標楷體" w:eastAsia="標楷體"/>
          <w:sz w:val="28"/>
          <w:szCs w:val="28"/>
          <w:shd w:val="clear" w:color="auto" w:fill="FFFFFF" w:themeFill="background1"/>
        </w:rPr>
        <w:t>未能</w:t>
      </w:r>
      <w:r>
        <w:rPr>
          <w:rFonts w:hint="eastAsia" w:ascii="標楷體" w:hAnsi="標楷體" w:eastAsia="標楷體"/>
          <w:kern w:val="0"/>
          <w:sz w:val="28"/>
          <w:szCs w:val="28"/>
        </w:rPr>
        <w:t>提供相關服務時，經此缺失確認無誤後，每次缺失將處以契約價款之千分之一罰款。</w:t>
      </w:r>
    </w:p>
    <w:p w14:paraId="66025A03">
      <w:pPr>
        <w:numPr>
          <w:ilvl w:val="0"/>
          <w:numId w:val="1"/>
        </w:numPr>
        <w:adjustRightInd w:val="0"/>
        <w:snapToGrid w:val="0"/>
        <w:spacing w:before="180" w:beforeLines="50" w:after="0" w:line="420" w:lineRule="exact"/>
        <w:ind w:left="567" w:right="414" w:hanging="567"/>
        <w:rPr>
          <w:rFonts w:ascii="標楷體" w:hAnsi="標楷體" w:eastAsia="標楷體"/>
          <w:kern w:val="0"/>
          <w:sz w:val="28"/>
          <w:szCs w:val="28"/>
        </w:rPr>
      </w:pPr>
      <w:r>
        <w:rPr>
          <w:rFonts w:hint="eastAsia" w:ascii="標楷體" w:hAnsi="標楷體" w:eastAsia="標楷體"/>
          <w:kern w:val="0"/>
          <w:sz w:val="28"/>
          <w:szCs w:val="28"/>
        </w:rPr>
        <w:t>投標文件：</w:t>
      </w:r>
    </w:p>
    <w:p w14:paraId="0344132A">
      <w:pPr>
        <w:numPr>
          <w:ilvl w:val="0"/>
          <w:numId w:val="3"/>
        </w:numPr>
        <w:spacing w:line="480" w:lineRule="exact"/>
        <w:ind w:left="1008" w:hanging="692"/>
        <w:jc w:val="both"/>
        <w:rPr>
          <w:rFonts w:ascii="標楷體" w:hAnsi="標楷體" w:eastAsia="標楷體"/>
          <w:sz w:val="28"/>
          <w:szCs w:val="28"/>
        </w:rPr>
      </w:pPr>
      <w:r>
        <w:rPr>
          <w:rFonts w:hint="eastAsia" w:ascii="標楷體" w:hAnsi="標楷體" w:eastAsia="標楷體"/>
          <w:sz w:val="28"/>
          <w:szCs w:val="28"/>
        </w:rPr>
        <w:t>企劃書乙式5份，請另提供企劃書電子檔，投標廠商所投企劃書，本會不另支付酬勞或稿費。</w:t>
      </w:r>
    </w:p>
    <w:p w14:paraId="659FDF36">
      <w:pPr>
        <w:numPr>
          <w:ilvl w:val="0"/>
          <w:numId w:val="3"/>
        </w:numPr>
        <w:spacing w:line="480" w:lineRule="exact"/>
        <w:ind w:left="1008" w:hanging="692"/>
        <w:jc w:val="both"/>
        <w:rPr>
          <w:rFonts w:ascii="標楷體" w:hAnsi="標楷體" w:eastAsia="標楷體"/>
          <w:sz w:val="28"/>
          <w:szCs w:val="28"/>
        </w:rPr>
      </w:pPr>
      <w:r>
        <w:rPr>
          <w:rFonts w:hint="eastAsia" w:ascii="標楷體" w:hAnsi="標楷體" w:eastAsia="標楷體"/>
          <w:sz w:val="28"/>
          <w:szCs w:val="28"/>
        </w:rPr>
        <w:t>企劃書製作規格請以中文楷書、直式橫書、14號字繕打，並以A4大小紙張、加封面、左邊裝訂成冊。</w:t>
      </w:r>
    </w:p>
    <w:p w14:paraId="41431A39">
      <w:pPr>
        <w:numPr>
          <w:ilvl w:val="0"/>
          <w:numId w:val="1"/>
        </w:numPr>
        <w:adjustRightInd w:val="0"/>
        <w:snapToGrid w:val="0"/>
        <w:spacing w:before="180" w:beforeLines="50" w:after="0" w:line="420" w:lineRule="exact"/>
        <w:ind w:left="567" w:right="414" w:hanging="567"/>
        <w:rPr>
          <w:rFonts w:ascii="標楷體" w:hAnsi="標楷體" w:eastAsia="標楷體"/>
          <w:color w:val="000000" w:themeColor="text1"/>
          <w:kern w:val="0"/>
          <w:sz w:val="28"/>
          <w:szCs w:val="28"/>
          <w14:textFill>
            <w14:solidFill>
              <w14:schemeClr w14:val="tx1"/>
            </w14:solidFill>
          </w14:textFill>
        </w:rPr>
      </w:pPr>
      <w:r>
        <w:rPr>
          <w:rFonts w:ascii="標楷體" w:hAnsi="標楷體" w:eastAsia="標楷體"/>
          <w:kern w:val="0"/>
          <w:sz w:val="28"/>
          <w:szCs w:val="28"/>
        </w:rPr>
        <w:t>投</w:t>
      </w:r>
      <w:r>
        <w:rPr>
          <w:rFonts w:ascii="標楷體" w:hAnsi="標楷體" w:eastAsia="標楷體"/>
          <w:color w:val="000000" w:themeColor="text1"/>
          <w:kern w:val="0"/>
          <w:sz w:val="28"/>
          <w:szCs w:val="28"/>
          <w14:textFill>
            <w14:solidFill>
              <w14:schemeClr w14:val="tx1"/>
            </w14:solidFill>
          </w14:textFill>
        </w:rPr>
        <w:t>標廠商評</w:t>
      </w:r>
      <w:r>
        <w:rPr>
          <w:rFonts w:hint="eastAsia" w:ascii="標楷體" w:hAnsi="標楷體" w:eastAsia="標楷體"/>
          <w:color w:val="000000" w:themeColor="text1"/>
          <w:kern w:val="0"/>
          <w:sz w:val="28"/>
          <w:szCs w:val="28"/>
          <w14:textFill>
            <w14:solidFill>
              <w14:schemeClr w14:val="tx1"/>
            </w14:solidFill>
          </w14:textFill>
        </w:rPr>
        <w:t>審</w:t>
      </w:r>
      <w:r>
        <w:rPr>
          <w:rFonts w:ascii="標楷體" w:hAnsi="標楷體" w:eastAsia="標楷體"/>
          <w:color w:val="000000" w:themeColor="text1"/>
          <w:kern w:val="0"/>
          <w:sz w:val="28"/>
          <w:szCs w:val="28"/>
          <w14:textFill>
            <w14:solidFill>
              <w14:schemeClr w14:val="tx1"/>
            </w14:solidFill>
          </w14:textFill>
        </w:rPr>
        <w:t>須知：</w:t>
      </w:r>
    </w:p>
    <w:p w14:paraId="4651D400">
      <w:pPr>
        <w:numPr>
          <w:ilvl w:val="0"/>
          <w:numId w:val="4"/>
        </w:numPr>
        <w:spacing w:line="480" w:lineRule="exact"/>
        <w:ind w:left="993" w:hanging="709"/>
        <w:jc w:val="both"/>
        <w:rPr>
          <w:rFonts w:ascii="標楷體" w:hAnsi="標楷體" w:eastAsia="標楷體"/>
          <w:color w:val="000000" w:themeColor="text1"/>
          <w:sz w:val="28"/>
          <w:szCs w:val="28"/>
          <w14:textFill>
            <w14:solidFill>
              <w14:schemeClr w14:val="tx1"/>
            </w14:solidFill>
          </w14:textFill>
        </w:rPr>
      </w:pPr>
      <w:bookmarkStart w:id="15" w:name="_Hlk124325203"/>
      <w:r>
        <w:rPr>
          <w:rFonts w:hint="eastAsia" w:ascii="標楷體" w:hAnsi="標楷體" w:eastAsia="標楷體"/>
          <w:color w:val="000000" w:themeColor="text1"/>
          <w:sz w:val="28"/>
          <w:szCs w:val="28"/>
          <w14:textFill>
            <w14:solidFill>
              <w14:schemeClr w14:val="tx1"/>
            </w14:solidFill>
          </w14:textFill>
        </w:rPr>
        <w:t>本採購適用政府採購法（以下簡稱採購法）及其主管機關所訂定之規定，成立採購評審小組並參考最有利標精神。</w:t>
      </w:r>
    </w:p>
    <w:p w14:paraId="4C3ECEEE">
      <w:pPr>
        <w:numPr>
          <w:ilvl w:val="0"/>
          <w:numId w:val="4"/>
        </w:numPr>
        <w:spacing w:line="480" w:lineRule="exact"/>
        <w:jc w:val="both"/>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sz w:val="28"/>
          <w:szCs w:val="28"/>
          <w14:textFill>
            <w14:solidFill>
              <w14:schemeClr w14:val="tx1"/>
            </w14:solidFill>
          </w14:textFill>
        </w:rPr>
        <w:t>招標方式為：公開取得企劃書及非複數決標。</w:t>
      </w:r>
    </w:p>
    <w:p w14:paraId="20954C84">
      <w:pPr>
        <w:numPr>
          <w:ilvl w:val="0"/>
          <w:numId w:val="4"/>
        </w:numPr>
        <w:spacing w:line="480" w:lineRule="exact"/>
        <w:jc w:val="both"/>
        <w:rPr>
          <w:rFonts w:ascii="標楷體" w:hAnsi="標楷體" w:eastAsia="標楷體"/>
          <w:color w:val="000000" w:themeColor="text1"/>
          <w:sz w:val="28"/>
          <w:szCs w:val="28"/>
          <w14:textFill>
            <w14:solidFill>
              <w14:schemeClr w14:val="tx1"/>
            </w14:solidFill>
          </w14:textFill>
        </w:rPr>
      </w:pPr>
      <w:r>
        <w:rPr>
          <w:rFonts w:ascii="標楷體" w:hAnsi="標楷體" w:eastAsia="標楷體"/>
          <w:color w:val="000000" w:themeColor="text1"/>
          <w:sz w:val="28"/>
          <w:szCs w:val="28"/>
          <w14:textFill>
            <w14:solidFill>
              <w14:schemeClr w14:val="tx1"/>
            </w14:solidFill>
          </w14:textFill>
        </w:rPr>
        <w:t>本案採書面評審辦理</w:t>
      </w:r>
      <w:r>
        <w:rPr>
          <w:rFonts w:hint="eastAsia" w:ascii="標楷體" w:hAnsi="標楷體" w:eastAsia="標楷體"/>
          <w:color w:val="000000" w:themeColor="text1"/>
          <w:sz w:val="28"/>
          <w:szCs w:val="28"/>
          <w14:textFill>
            <w14:solidFill>
              <w14:schemeClr w14:val="tx1"/>
            </w14:solidFill>
          </w14:textFill>
        </w:rPr>
        <w:t>。</w:t>
      </w:r>
    </w:p>
    <w:bookmarkEnd w:id="15"/>
    <w:p w14:paraId="1AA52571">
      <w:pPr>
        <w:numPr>
          <w:ilvl w:val="0"/>
          <w:numId w:val="1"/>
        </w:numPr>
        <w:adjustRightInd w:val="0"/>
        <w:snapToGrid w:val="0"/>
        <w:spacing w:before="180" w:beforeLines="50" w:after="0" w:line="420" w:lineRule="exact"/>
        <w:ind w:left="567" w:right="414" w:hanging="567"/>
        <w:rPr>
          <w:rFonts w:ascii="標楷體" w:hAnsi="標楷體" w:eastAsia="標楷體"/>
          <w:kern w:val="0"/>
          <w:sz w:val="28"/>
          <w:szCs w:val="28"/>
        </w:rPr>
      </w:pPr>
      <w:r>
        <w:rPr>
          <w:rFonts w:ascii="標楷體" w:hAnsi="標楷體" w:eastAsia="標楷體"/>
          <w:kern w:val="0"/>
          <w:sz w:val="28"/>
          <w:szCs w:val="28"/>
        </w:rPr>
        <w:t>優勝廠商評定方式：</w:t>
      </w:r>
    </w:p>
    <w:p w14:paraId="4C9A3073">
      <w:pPr>
        <w:numPr>
          <w:ilvl w:val="0"/>
          <w:numId w:val="5"/>
        </w:numPr>
        <w:spacing w:line="480" w:lineRule="exact"/>
        <w:ind w:left="993" w:hanging="677"/>
        <w:jc w:val="both"/>
        <w:rPr>
          <w:rFonts w:ascii="標楷體" w:hAnsi="標楷體" w:eastAsia="標楷體"/>
          <w:sz w:val="28"/>
          <w:szCs w:val="28"/>
        </w:rPr>
      </w:pPr>
      <w:r>
        <w:rPr>
          <w:rFonts w:ascii="標楷體" w:hAnsi="標楷體" w:eastAsia="標楷體"/>
          <w:sz w:val="28"/>
          <w:szCs w:val="28"/>
        </w:rPr>
        <w:t>採序位法</w:t>
      </w:r>
      <w:r>
        <w:rPr>
          <w:rFonts w:hint="eastAsia" w:ascii="標楷體" w:hAnsi="標楷體" w:eastAsia="標楷體"/>
          <w:sz w:val="28"/>
          <w:szCs w:val="28"/>
        </w:rPr>
        <w:t>：</w:t>
      </w:r>
    </w:p>
    <w:p w14:paraId="524181CB">
      <w:pPr>
        <w:pStyle w:val="6"/>
        <w:adjustRightInd w:val="0"/>
        <w:snapToGrid w:val="0"/>
        <w:spacing w:after="0" w:line="420" w:lineRule="exact"/>
        <w:ind w:left="1233" w:leftChars="178" w:right="414" w:hanging="806" w:hangingChars="252"/>
        <w:rPr>
          <w:rFonts w:ascii="標楷體"/>
          <w:spacing w:val="20"/>
          <w:szCs w:val="28"/>
        </w:rPr>
      </w:pPr>
      <w:r>
        <w:rPr>
          <w:rFonts w:ascii="標楷體" w:hAnsi="標楷體"/>
          <w:spacing w:val="20"/>
          <w:szCs w:val="28"/>
        </w:rPr>
        <w:t>（一）由工作小組提出初</w:t>
      </w:r>
      <w:bookmarkStart w:id="16" w:name="_Hlk124325304"/>
      <w:r>
        <w:rPr>
          <w:rFonts w:ascii="標楷體" w:hAnsi="標楷體"/>
          <w:spacing w:val="20"/>
          <w:szCs w:val="28"/>
        </w:rPr>
        <w:t>審</w:t>
      </w:r>
      <w:bookmarkEnd w:id="16"/>
      <w:r>
        <w:rPr>
          <w:rFonts w:ascii="標楷體" w:hAnsi="標楷體"/>
          <w:spacing w:val="20"/>
          <w:szCs w:val="28"/>
        </w:rPr>
        <w:t>意見，評</w:t>
      </w:r>
      <w:r>
        <w:rPr>
          <w:rFonts w:hint="eastAsia" w:ascii="標楷體" w:hAnsi="標楷體"/>
          <w:spacing w:val="20"/>
          <w:szCs w:val="28"/>
        </w:rPr>
        <w:t>審</w:t>
      </w:r>
      <w:r>
        <w:rPr>
          <w:rFonts w:ascii="標楷體" w:hAnsi="標楷體"/>
          <w:spacing w:val="20"/>
          <w:szCs w:val="28"/>
        </w:rPr>
        <w:t>委員就初審意見、廠</w:t>
      </w:r>
      <w:r>
        <w:rPr>
          <w:rFonts w:ascii="標楷體"/>
          <w:spacing w:val="20"/>
          <w:szCs w:val="28"/>
        </w:rPr>
        <w:t>商資料、評</w:t>
      </w:r>
      <w:r>
        <w:rPr>
          <w:rFonts w:hint="eastAsia" w:ascii="標楷體"/>
          <w:spacing w:val="20"/>
          <w:szCs w:val="28"/>
        </w:rPr>
        <w:t>審</w:t>
      </w:r>
      <w:r>
        <w:rPr>
          <w:rFonts w:ascii="標楷體"/>
          <w:spacing w:val="20"/>
          <w:szCs w:val="28"/>
        </w:rPr>
        <w:t>項目逐項討論後，由各評</w:t>
      </w:r>
      <w:r>
        <w:rPr>
          <w:rFonts w:hint="eastAsia" w:ascii="標楷體"/>
          <w:spacing w:val="20"/>
          <w:szCs w:val="28"/>
        </w:rPr>
        <w:t>審</w:t>
      </w:r>
      <w:r>
        <w:rPr>
          <w:rFonts w:ascii="標楷體"/>
          <w:spacing w:val="20"/>
          <w:szCs w:val="28"/>
        </w:rPr>
        <w:t>委員辦理序位評比，就個別廠商各評</w:t>
      </w:r>
      <w:r>
        <w:rPr>
          <w:rFonts w:hint="eastAsia" w:ascii="標楷體"/>
          <w:spacing w:val="20"/>
          <w:szCs w:val="28"/>
        </w:rPr>
        <w:t>審</w:t>
      </w:r>
      <w:r>
        <w:rPr>
          <w:rFonts w:ascii="標楷體"/>
          <w:spacing w:val="20"/>
          <w:szCs w:val="28"/>
        </w:rPr>
        <w:t>項目及子項分別評分後予以加總，並依加總分數高低轉換為序位。個別廠商之平均總評分（計算至小數點以下二位數，小數點以下第三位四捨五入），未達7</w:t>
      </w:r>
      <w:r>
        <w:rPr>
          <w:rFonts w:hint="eastAsia" w:ascii="標楷體"/>
          <w:spacing w:val="20"/>
          <w:szCs w:val="28"/>
        </w:rPr>
        <w:t>5</w:t>
      </w:r>
      <w:r>
        <w:rPr>
          <w:rFonts w:ascii="標楷體"/>
          <w:spacing w:val="20"/>
          <w:szCs w:val="28"/>
        </w:rPr>
        <w:t>分者，不得列為議價對象。其全部廠商平均總評分均未達7</w:t>
      </w:r>
      <w:r>
        <w:rPr>
          <w:rFonts w:hint="eastAsia" w:ascii="標楷體"/>
          <w:spacing w:val="20"/>
          <w:szCs w:val="28"/>
        </w:rPr>
        <w:t>5</w:t>
      </w:r>
      <w:r>
        <w:rPr>
          <w:rFonts w:ascii="標楷體"/>
          <w:spacing w:val="20"/>
          <w:szCs w:val="28"/>
        </w:rPr>
        <w:t>分者，則優勝廠商從缺並廢標。</w:t>
      </w:r>
    </w:p>
    <w:p w14:paraId="361D36AB">
      <w:pPr>
        <w:adjustRightInd w:val="0"/>
        <w:spacing w:line="400" w:lineRule="exact"/>
        <w:ind w:left="1538" w:leftChars="236" w:right="416" w:hanging="972" w:hangingChars="304"/>
        <w:jc w:val="both"/>
        <w:rPr>
          <w:rFonts w:ascii="標楷體" w:eastAsia="標楷體"/>
          <w:spacing w:val="20"/>
          <w:sz w:val="28"/>
          <w:szCs w:val="28"/>
        </w:rPr>
      </w:pPr>
      <w:r>
        <w:rPr>
          <w:rFonts w:ascii="標楷體" w:eastAsia="標楷體"/>
          <w:spacing w:val="20"/>
          <w:sz w:val="28"/>
          <w:szCs w:val="28"/>
        </w:rPr>
        <w:t>（二）評</w:t>
      </w:r>
      <w:r>
        <w:rPr>
          <w:rFonts w:hint="eastAsia" w:ascii="標楷體" w:eastAsia="標楷體"/>
          <w:spacing w:val="20"/>
          <w:sz w:val="28"/>
          <w:szCs w:val="28"/>
        </w:rPr>
        <w:t>審</w:t>
      </w:r>
      <w:r>
        <w:rPr>
          <w:rFonts w:ascii="標楷體" w:eastAsia="標楷體"/>
          <w:spacing w:val="20"/>
          <w:sz w:val="28"/>
          <w:szCs w:val="28"/>
        </w:rPr>
        <w:t>委員於各評</w:t>
      </w:r>
      <w:r>
        <w:rPr>
          <w:rFonts w:ascii="標楷體" w:hAnsi="標楷體" w:eastAsia="標楷體"/>
          <w:spacing w:val="20"/>
          <w:sz w:val="28"/>
          <w:szCs w:val="28"/>
        </w:rPr>
        <w:t>審</w:t>
      </w:r>
      <w:r>
        <w:rPr>
          <w:rFonts w:ascii="標楷體" w:eastAsia="標楷體"/>
          <w:spacing w:val="20"/>
          <w:sz w:val="28"/>
          <w:szCs w:val="28"/>
        </w:rPr>
        <w:t>項目及子項之評分加總轉換為序位後，彙整合計各該廠商之序位，以平均總評分7</w:t>
      </w:r>
      <w:r>
        <w:rPr>
          <w:rFonts w:hint="eastAsia" w:ascii="標楷體" w:eastAsia="標楷體"/>
          <w:spacing w:val="20"/>
          <w:sz w:val="28"/>
          <w:szCs w:val="28"/>
        </w:rPr>
        <w:t>5</w:t>
      </w:r>
      <w:r>
        <w:rPr>
          <w:rFonts w:ascii="標楷體" w:eastAsia="標楷體"/>
          <w:spacing w:val="20"/>
          <w:sz w:val="28"/>
          <w:szCs w:val="28"/>
        </w:rPr>
        <w:t>分以上之序位合計值最低廠商為第1名，而其標價合理，無浪費公帑情形，且經出席評</w:t>
      </w:r>
      <w:r>
        <w:rPr>
          <w:rFonts w:hint="eastAsia" w:ascii="標楷體" w:eastAsia="標楷體"/>
          <w:spacing w:val="20"/>
          <w:sz w:val="28"/>
          <w:szCs w:val="28"/>
        </w:rPr>
        <w:t>審</w:t>
      </w:r>
      <w:r>
        <w:rPr>
          <w:rFonts w:ascii="標楷體" w:eastAsia="標楷體"/>
          <w:spacing w:val="20"/>
          <w:sz w:val="28"/>
          <w:szCs w:val="28"/>
        </w:rPr>
        <w:t>委員過半數之決定者，為優勝廠商。平均總評分在7</w:t>
      </w:r>
      <w:r>
        <w:rPr>
          <w:rFonts w:hint="eastAsia" w:ascii="標楷體" w:eastAsia="標楷體"/>
          <w:spacing w:val="20"/>
          <w:sz w:val="28"/>
          <w:szCs w:val="28"/>
        </w:rPr>
        <w:t>5</w:t>
      </w:r>
      <w:r>
        <w:rPr>
          <w:rFonts w:ascii="標楷體" w:eastAsia="標楷體"/>
          <w:spacing w:val="20"/>
          <w:sz w:val="28"/>
          <w:szCs w:val="28"/>
        </w:rPr>
        <w:t>分以上之第2名以後廠商，而其標價合理，無浪費公帑情形，且經出席評</w:t>
      </w:r>
      <w:r>
        <w:rPr>
          <w:rFonts w:hint="eastAsia" w:ascii="標楷體" w:eastAsia="標楷體"/>
          <w:spacing w:val="20"/>
          <w:sz w:val="28"/>
          <w:szCs w:val="28"/>
        </w:rPr>
        <w:t>審</w:t>
      </w:r>
      <w:r>
        <w:rPr>
          <w:rFonts w:ascii="標楷體" w:eastAsia="標楷體"/>
          <w:spacing w:val="20"/>
          <w:sz w:val="28"/>
          <w:szCs w:val="28"/>
        </w:rPr>
        <w:t>委員過半數之決定者，亦列為優勝廠商。</w:t>
      </w:r>
    </w:p>
    <w:p w14:paraId="19C70382">
      <w:pPr>
        <w:adjustRightInd w:val="0"/>
        <w:spacing w:line="400" w:lineRule="exact"/>
        <w:ind w:left="1538" w:leftChars="236" w:right="416" w:hanging="972" w:hangingChars="304"/>
        <w:jc w:val="both"/>
        <w:rPr>
          <w:rFonts w:ascii="標楷體" w:eastAsia="標楷體"/>
          <w:spacing w:val="20"/>
          <w:sz w:val="28"/>
          <w:szCs w:val="28"/>
        </w:rPr>
      </w:pPr>
      <w:r>
        <w:rPr>
          <w:rFonts w:ascii="標楷體" w:eastAsia="標楷體"/>
          <w:spacing w:val="20"/>
          <w:sz w:val="28"/>
          <w:szCs w:val="28"/>
        </w:rPr>
        <w:t>（三）優勝廠商為1家者，以議價方式辦理；優勝廠商2家以上者，依優勝序位以依序議價方式辦理。若有2家（含）以上優勝廠商序位合計值相同者，其議價順序以標價低者優先議價。該等廠商報價仍相同者，擇獲得評</w:t>
      </w:r>
      <w:r>
        <w:rPr>
          <w:rFonts w:hint="eastAsia" w:ascii="標楷體" w:eastAsia="標楷體"/>
          <w:spacing w:val="20"/>
          <w:sz w:val="28"/>
          <w:szCs w:val="28"/>
        </w:rPr>
        <w:t>審</w:t>
      </w:r>
      <w:r>
        <w:rPr>
          <w:rFonts w:ascii="標楷體" w:eastAsia="標楷體"/>
          <w:spacing w:val="20"/>
          <w:sz w:val="28"/>
          <w:szCs w:val="28"/>
        </w:rPr>
        <w:t>委員評定序位第一較多者優先議價；仍相同者，抽籤決定之。</w:t>
      </w:r>
    </w:p>
    <w:p w14:paraId="02DE4D59">
      <w:pPr>
        <w:adjustRightInd w:val="0"/>
        <w:spacing w:line="400" w:lineRule="exact"/>
        <w:ind w:left="1538" w:leftChars="236" w:right="416" w:hanging="972" w:hangingChars="304"/>
        <w:jc w:val="both"/>
        <w:rPr>
          <w:rFonts w:ascii="標楷體" w:eastAsia="標楷體"/>
          <w:spacing w:val="20"/>
          <w:sz w:val="28"/>
          <w:szCs w:val="28"/>
        </w:rPr>
      </w:pPr>
      <w:r>
        <w:rPr>
          <w:rFonts w:ascii="標楷體" w:eastAsia="標楷體"/>
          <w:spacing w:val="20"/>
          <w:sz w:val="28"/>
          <w:szCs w:val="28"/>
        </w:rPr>
        <w:t>（四）評</w:t>
      </w:r>
      <w:r>
        <w:rPr>
          <w:rFonts w:hint="eastAsia" w:ascii="標楷體" w:eastAsia="標楷體"/>
          <w:spacing w:val="20"/>
          <w:sz w:val="28"/>
          <w:szCs w:val="28"/>
        </w:rPr>
        <w:t>審</w:t>
      </w:r>
      <w:r>
        <w:rPr>
          <w:rFonts w:ascii="標楷體" w:eastAsia="標楷體"/>
          <w:spacing w:val="20"/>
          <w:sz w:val="28"/>
          <w:szCs w:val="28"/>
        </w:rPr>
        <w:t>委員評</w:t>
      </w:r>
      <w:r>
        <w:rPr>
          <w:rFonts w:ascii="標楷體" w:hAnsi="標楷體" w:eastAsia="標楷體"/>
          <w:spacing w:val="20"/>
          <w:sz w:val="28"/>
          <w:szCs w:val="28"/>
        </w:rPr>
        <w:t>審</w:t>
      </w:r>
      <w:r>
        <w:rPr>
          <w:rFonts w:ascii="標楷體" w:eastAsia="標楷體"/>
          <w:spacing w:val="20"/>
          <w:sz w:val="28"/>
          <w:szCs w:val="28"/>
        </w:rPr>
        <w:t>評分表及評</w:t>
      </w:r>
      <w:r>
        <w:rPr>
          <w:rFonts w:ascii="標楷體" w:hAnsi="標楷體" w:eastAsia="標楷體"/>
          <w:spacing w:val="20"/>
          <w:sz w:val="28"/>
          <w:szCs w:val="28"/>
        </w:rPr>
        <w:t>審</w:t>
      </w:r>
      <w:r>
        <w:rPr>
          <w:rFonts w:ascii="標楷體" w:eastAsia="標楷體"/>
          <w:spacing w:val="20"/>
          <w:sz w:val="28"/>
          <w:szCs w:val="28"/>
        </w:rPr>
        <w:t>總表如</w:t>
      </w:r>
      <w:bookmarkStart w:id="17" w:name="_Hlk123917185"/>
      <w:r>
        <w:rPr>
          <w:rFonts w:ascii="標楷體" w:eastAsia="標楷體"/>
          <w:spacing w:val="20"/>
          <w:sz w:val="28"/>
          <w:szCs w:val="28"/>
        </w:rPr>
        <w:t>附</w:t>
      </w:r>
      <w:r>
        <w:rPr>
          <w:rFonts w:hint="eastAsia" w:ascii="標楷體" w:eastAsia="標楷體"/>
          <w:spacing w:val="20"/>
          <w:sz w:val="28"/>
          <w:szCs w:val="28"/>
        </w:rPr>
        <w:t>表</w:t>
      </w:r>
      <w:r>
        <w:rPr>
          <w:rFonts w:ascii="標楷體" w:eastAsia="標楷體"/>
          <w:spacing w:val="20"/>
          <w:sz w:val="28"/>
          <w:szCs w:val="28"/>
        </w:rPr>
        <w:t>2</w:t>
      </w:r>
      <w:r>
        <w:rPr>
          <w:rFonts w:hint="eastAsia" w:ascii="標楷體" w:eastAsia="標楷體"/>
          <w:spacing w:val="20"/>
          <w:sz w:val="28"/>
          <w:szCs w:val="28"/>
        </w:rPr>
        <w:t>、3</w:t>
      </w:r>
      <w:bookmarkEnd w:id="17"/>
      <w:r>
        <w:rPr>
          <w:rFonts w:ascii="標楷體" w:eastAsia="標楷體"/>
          <w:spacing w:val="20"/>
          <w:sz w:val="28"/>
          <w:szCs w:val="28"/>
        </w:rPr>
        <w:t>。</w:t>
      </w:r>
    </w:p>
    <w:p w14:paraId="25295C0E">
      <w:pPr>
        <w:numPr>
          <w:ilvl w:val="0"/>
          <w:numId w:val="5"/>
        </w:numPr>
        <w:spacing w:line="480" w:lineRule="exact"/>
        <w:ind w:left="993" w:hanging="677"/>
        <w:jc w:val="both"/>
        <w:rPr>
          <w:rFonts w:ascii="標楷體" w:hAnsi="標楷體" w:eastAsia="標楷體"/>
          <w:sz w:val="28"/>
          <w:szCs w:val="28"/>
        </w:rPr>
      </w:pPr>
      <w:r>
        <w:rPr>
          <w:rFonts w:hint="eastAsia" w:ascii="標楷體" w:hAnsi="標楷體" w:eastAsia="標楷體"/>
          <w:sz w:val="28"/>
          <w:szCs w:val="28"/>
        </w:rPr>
        <w:t>評</w:t>
      </w:r>
      <w:r>
        <w:rPr>
          <w:rFonts w:hint="eastAsia" w:ascii="標楷體" w:hAnsi="標楷體" w:eastAsia="標楷體"/>
          <w:sz w:val="28"/>
          <w:szCs w:val="32"/>
        </w:rPr>
        <w:t>審</w:t>
      </w:r>
      <w:r>
        <w:rPr>
          <w:rFonts w:hint="eastAsia" w:ascii="標楷體" w:hAnsi="標楷體" w:eastAsia="標楷體"/>
          <w:sz w:val="28"/>
          <w:szCs w:val="28"/>
        </w:rPr>
        <w:t>標準：採「序位法」，本案對各投標廠商，依下列各項目及配分，予以評分。</w:t>
      </w:r>
    </w:p>
    <w:tbl>
      <w:tblPr>
        <w:tblStyle w:val="3"/>
        <w:tblW w:w="9047" w:type="dxa"/>
        <w:tblInd w:w="7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6236"/>
        <w:gridCol w:w="1818"/>
      </w:tblGrid>
      <w:tr w14:paraId="3176D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12" w:space="0"/>
              <w:bottom w:val="double" w:color="auto" w:sz="4" w:space="0"/>
            </w:tcBorders>
          </w:tcPr>
          <w:p w14:paraId="3EBD43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91" w:rightChars="-38"/>
              <w:jc w:val="center"/>
              <w:rPr>
                <w:rFonts w:ascii="標楷體" w:hAnsi="標楷體" w:eastAsia="標楷體"/>
                <w:kern w:val="0"/>
              </w:rPr>
            </w:pPr>
            <w:bookmarkStart w:id="18" w:name="_Hlk124329612"/>
            <w:r>
              <w:rPr>
                <w:rFonts w:ascii="標楷體" w:hAnsi="標楷體" w:eastAsia="標楷體"/>
                <w:kern w:val="0"/>
              </w:rPr>
              <w:t>項次</w:t>
            </w:r>
          </w:p>
        </w:tc>
        <w:tc>
          <w:tcPr>
            <w:tcW w:w="6236" w:type="dxa"/>
            <w:tcBorders>
              <w:top w:val="single" w:color="auto" w:sz="12" w:space="0"/>
              <w:bottom w:val="double" w:color="auto" w:sz="4" w:space="0"/>
            </w:tcBorders>
          </w:tcPr>
          <w:p w14:paraId="7DDEEA95">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50" w:rightChars="-21"/>
              <w:jc w:val="center"/>
              <w:rPr>
                <w:rFonts w:ascii="標楷體" w:hAnsi="標楷體" w:eastAsia="標楷體"/>
                <w:kern w:val="0"/>
              </w:rPr>
            </w:pPr>
            <w:r>
              <w:rPr>
                <w:rFonts w:ascii="標楷體" w:hAnsi="標楷體" w:eastAsia="標楷體"/>
                <w:kern w:val="0"/>
              </w:rPr>
              <w:t>評</w:t>
            </w:r>
            <w:r>
              <w:rPr>
                <w:rFonts w:hint="eastAsia" w:ascii="標楷體" w:hAnsi="標楷體" w:eastAsia="標楷體"/>
                <w:kern w:val="0"/>
              </w:rPr>
              <w:t>審</w:t>
            </w:r>
            <w:r>
              <w:rPr>
                <w:rFonts w:ascii="標楷體" w:hAnsi="標楷體" w:eastAsia="標楷體"/>
                <w:kern w:val="0"/>
              </w:rPr>
              <w:t>項目</w:t>
            </w:r>
          </w:p>
        </w:tc>
        <w:tc>
          <w:tcPr>
            <w:tcW w:w="1818" w:type="dxa"/>
            <w:tcBorders>
              <w:top w:val="single" w:color="auto" w:sz="12" w:space="0"/>
              <w:bottom w:val="double" w:color="auto" w:sz="4" w:space="0"/>
            </w:tcBorders>
          </w:tcPr>
          <w:p w14:paraId="6BDA5189">
            <w:pPr>
              <w:widowControl/>
              <w:tabs>
                <w:tab w:val="left" w:pos="916"/>
                <w:tab w:val="left" w:pos="1832"/>
                <w:tab w:val="left" w:pos="29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91" w:leftChars="-38" w:right="-50" w:rightChars="-21"/>
              <w:jc w:val="center"/>
              <w:rPr>
                <w:rFonts w:ascii="標楷體" w:hAnsi="標楷體" w:eastAsia="標楷體"/>
                <w:kern w:val="0"/>
              </w:rPr>
            </w:pPr>
            <w:r>
              <w:rPr>
                <w:rFonts w:hint="eastAsia" w:ascii="標楷體" w:hAnsi="標楷體" w:eastAsia="標楷體"/>
                <w:kern w:val="0"/>
              </w:rPr>
              <w:t>評分</w:t>
            </w:r>
          </w:p>
        </w:tc>
      </w:tr>
      <w:tr w14:paraId="4106B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3" w:type="dxa"/>
            <w:tcBorders>
              <w:top w:val="double" w:color="auto" w:sz="4" w:space="0"/>
            </w:tcBorders>
          </w:tcPr>
          <w:p w14:paraId="36D27D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w:t>
            </w:r>
          </w:p>
        </w:tc>
        <w:tc>
          <w:tcPr>
            <w:tcW w:w="6236" w:type="dxa"/>
            <w:tcBorders>
              <w:top w:val="double" w:color="auto" w:sz="4" w:space="0"/>
            </w:tcBorders>
          </w:tcPr>
          <w:p w14:paraId="44279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hAnsi="標楷體" w:eastAsia="標楷體"/>
                <w:kern w:val="0"/>
              </w:rPr>
            </w:pPr>
            <w:r>
              <w:rPr>
                <w:rFonts w:hint="eastAsia" w:ascii="標楷體" w:hAnsi="標楷體" w:eastAsia="標楷體"/>
                <w:kern w:val="0"/>
              </w:rPr>
              <w:t>轉播計畫完整度</w:t>
            </w:r>
          </w:p>
        </w:tc>
        <w:tc>
          <w:tcPr>
            <w:tcW w:w="1818" w:type="dxa"/>
            <w:tcBorders>
              <w:top w:val="double" w:color="auto" w:sz="4" w:space="0"/>
            </w:tcBorders>
          </w:tcPr>
          <w:p w14:paraId="3CCDD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hint="eastAsia" w:ascii="標楷體" w:hAnsi="標楷體" w:eastAsia="標楷體"/>
                <w:kern w:val="0"/>
              </w:rPr>
              <w:t>40分</w:t>
            </w:r>
          </w:p>
        </w:tc>
      </w:tr>
      <w:tr w14:paraId="49DD6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3" w:type="dxa"/>
          </w:tcPr>
          <w:p w14:paraId="3A4A96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2</w:t>
            </w:r>
          </w:p>
        </w:tc>
        <w:tc>
          <w:tcPr>
            <w:tcW w:w="6236" w:type="dxa"/>
          </w:tcPr>
          <w:p w14:paraId="5A8D4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ascii="標楷體" w:hAnsi="標楷體" w:eastAsia="標楷體"/>
                <w:kern w:val="0"/>
              </w:rPr>
              <w:t>廠商之規模</w:t>
            </w:r>
            <w:r>
              <w:rPr>
                <w:rFonts w:hint="eastAsia" w:ascii="標楷體" w:hAnsi="標楷體" w:eastAsia="標楷體"/>
                <w:kern w:val="0"/>
              </w:rPr>
              <w:t>、</w:t>
            </w:r>
            <w:r>
              <w:rPr>
                <w:rFonts w:ascii="標楷體" w:hAnsi="標楷體" w:eastAsia="標楷體"/>
                <w:kern w:val="0"/>
              </w:rPr>
              <w:t>能力</w:t>
            </w:r>
            <w:r>
              <w:rPr>
                <w:rFonts w:hint="eastAsia" w:ascii="標楷體" w:hAnsi="標楷體" w:eastAsia="標楷體"/>
                <w:kern w:val="0"/>
              </w:rPr>
              <w:t>、經驗及執行本案工作人員能力與專業性、配合度</w:t>
            </w:r>
          </w:p>
        </w:tc>
        <w:tc>
          <w:tcPr>
            <w:tcW w:w="1818" w:type="dxa"/>
          </w:tcPr>
          <w:p w14:paraId="78AAC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hint="eastAsia" w:ascii="標楷體" w:hAnsi="標楷體" w:eastAsia="標楷體"/>
                <w:kern w:val="0"/>
              </w:rPr>
              <w:t>30分</w:t>
            </w:r>
          </w:p>
        </w:tc>
      </w:tr>
      <w:tr w14:paraId="71039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3" w:type="dxa"/>
          </w:tcPr>
          <w:p w14:paraId="4DFDD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3</w:t>
            </w:r>
          </w:p>
        </w:tc>
        <w:tc>
          <w:tcPr>
            <w:tcW w:w="6236" w:type="dxa"/>
          </w:tcPr>
          <w:p w14:paraId="1DD11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ascii="標楷體" w:hAnsi="標楷體" w:eastAsia="標楷體"/>
                <w:kern w:val="0"/>
              </w:rPr>
              <w:t>經費運用合理性</w:t>
            </w:r>
          </w:p>
        </w:tc>
        <w:tc>
          <w:tcPr>
            <w:tcW w:w="1818" w:type="dxa"/>
          </w:tcPr>
          <w:p w14:paraId="7A718B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20</w:t>
            </w:r>
            <w:r>
              <w:rPr>
                <w:rFonts w:hint="eastAsia" w:ascii="標楷體" w:hAnsi="標楷體" w:eastAsia="標楷體"/>
                <w:kern w:val="0"/>
              </w:rPr>
              <w:t>分</w:t>
            </w:r>
          </w:p>
        </w:tc>
      </w:tr>
      <w:tr w14:paraId="3D2AE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3" w:type="dxa"/>
          </w:tcPr>
          <w:p w14:paraId="3284AE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4</w:t>
            </w:r>
          </w:p>
        </w:tc>
        <w:tc>
          <w:tcPr>
            <w:tcW w:w="6236" w:type="dxa"/>
          </w:tcPr>
          <w:p w14:paraId="27369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hAnsi="標楷體" w:eastAsia="標楷體"/>
                <w:kern w:val="0"/>
              </w:rPr>
            </w:pPr>
            <w:r>
              <w:rPr>
                <w:rFonts w:ascii="標楷體" w:hAnsi="標楷體" w:eastAsia="標楷體"/>
                <w:kern w:val="0"/>
              </w:rPr>
              <w:t>簡報廠商簡報與答詢</w:t>
            </w:r>
          </w:p>
        </w:tc>
        <w:tc>
          <w:tcPr>
            <w:tcW w:w="1818" w:type="dxa"/>
          </w:tcPr>
          <w:p w14:paraId="73D7E9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10分</w:t>
            </w:r>
          </w:p>
        </w:tc>
      </w:tr>
      <w:tr w14:paraId="534DC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7229" w:type="dxa"/>
            <w:gridSpan w:val="2"/>
          </w:tcPr>
          <w:p w14:paraId="32586A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評分合計</w:t>
            </w:r>
          </w:p>
        </w:tc>
        <w:tc>
          <w:tcPr>
            <w:tcW w:w="1818" w:type="dxa"/>
          </w:tcPr>
          <w:p w14:paraId="0502B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hAnsi="標楷體" w:eastAsia="標楷體"/>
                <w:kern w:val="0"/>
              </w:rPr>
            </w:pPr>
            <w:r>
              <w:rPr>
                <w:rFonts w:ascii="標楷體" w:hAnsi="標楷體" w:eastAsia="標楷體"/>
                <w:kern w:val="0"/>
              </w:rPr>
              <w:t>100分</w:t>
            </w:r>
          </w:p>
        </w:tc>
      </w:tr>
      <w:bookmarkEnd w:id="18"/>
    </w:tbl>
    <w:p w14:paraId="6A8BBB42">
      <w:pPr>
        <w:numPr>
          <w:ilvl w:val="0"/>
          <w:numId w:val="5"/>
        </w:numPr>
        <w:spacing w:line="480" w:lineRule="exact"/>
        <w:ind w:left="993" w:hanging="677"/>
        <w:jc w:val="both"/>
        <w:rPr>
          <w:rFonts w:ascii="標楷體" w:hAnsi="標楷體" w:eastAsia="標楷體"/>
          <w:sz w:val="28"/>
          <w:szCs w:val="28"/>
        </w:rPr>
      </w:pPr>
      <w:r>
        <w:rPr>
          <w:rFonts w:hint="eastAsia" w:ascii="標楷體" w:hAnsi="標楷體" w:eastAsia="標楷體"/>
          <w:sz w:val="28"/>
          <w:szCs w:val="28"/>
        </w:rPr>
        <w:t>補充說明及規定:</w:t>
      </w:r>
    </w:p>
    <w:p w14:paraId="0D9BC625">
      <w:pPr>
        <w:numPr>
          <w:ilvl w:val="0"/>
          <w:numId w:val="6"/>
        </w:numPr>
        <w:spacing w:line="460" w:lineRule="exact"/>
        <w:jc w:val="both"/>
        <w:rPr>
          <w:rFonts w:ascii="標楷體" w:hAnsi="標楷體" w:eastAsia="標楷體"/>
          <w:sz w:val="28"/>
          <w:szCs w:val="28"/>
        </w:rPr>
      </w:pPr>
      <w:r>
        <w:rPr>
          <w:rFonts w:hint="eastAsia" w:ascii="標楷體" w:hAnsi="標楷體" w:eastAsia="標楷體"/>
          <w:sz w:val="28"/>
          <w:szCs w:val="28"/>
        </w:rPr>
        <w:t>投標文件澄清</w:t>
      </w:r>
      <w:r>
        <w:rPr>
          <w:rFonts w:hint="eastAsia" w:ascii="新細明體" w:hAnsi="新細明體"/>
          <w:sz w:val="28"/>
          <w:szCs w:val="28"/>
        </w:rPr>
        <w:t>：</w:t>
      </w:r>
      <w:r>
        <w:rPr>
          <w:rFonts w:hint="eastAsia" w:ascii="標楷體" w:hAnsi="標楷體" w:eastAsia="標楷體"/>
          <w:sz w:val="28"/>
          <w:szCs w:val="28"/>
        </w:rPr>
        <w:t>投標文件如有需投標廠商說明者，將依政府採購法第51條及其施行細則第60條辦理。</w:t>
      </w:r>
    </w:p>
    <w:p w14:paraId="2C0D33E3">
      <w:pPr>
        <w:numPr>
          <w:ilvl w:val="0"/>
          <w:numId w:val="6"/>
        </w:numPr>
        <w:spacing w:line="460" w:lineRule="exact"/>
        <w:jc w:val="both"/>
        <w:rPr>
          <w:rFonts w:ascii="標楷體" w:hAnsi="標楷體" w:eastAsia="標楷體"/>
          <w:sz w:val="28"/>
          <w:szCs w:val="28"/>
        </w:rPr>
      </w:pPr>
      <w:r>
        <w:rPr>
          <w:rFonts w:hint="eastAsia" w:ascii="標楷體" w:hAnsi="標楷體" w:eastAsia="標楷體"/>
          <w:sz w:val="28"/>
          <w:szCs w:val="28"/>
        </w:rPr>
        <w:t>評</w:t>
      </w:r>
      <w:r>
        <w:rPr>
          <w:rFonts w:hint="eastAsia" w:ascii="標楷體" w:hAnsi="標楷體" w:eastAsia="標楷體"/>
          <w:sz w:val="28"/>
          <w:szCs w:val="32"/>
        </w:rPr>
        <w:t>審</w:t>
      </w:r>
      <w:r>
        <w:rPr>
          <w:rFonts w:hint="eastAsia" w:ascii="標楷體" w:hAnsi="標楷體" w:eastAsia="標楷體"/>
          <w:sz w:val="28"/>
          <w:szCs w:val="28"/>
        </w:rPr>
        <w:t>委員名單保密規定:本案未於招標文件中公告評</w:t>
      </w:r>
      <w:r>
        <w:rPr>
          <w:rFonts w:hint="eastAsia" w:ascii="標楷體" w:hAnsi="標楷體" w:eastAsia="標楷體"/>
          <w:sz w:val="28"/>
          <w:szCs w:val="32"/>
        </w:rPr>
        <w:t>審</w:t>
      </w:r>
      <w:r>
        <w:rPr>
          <w:rFonts w:hint="eastAsia" w:ascii="標楷體" w:hAnsi="標楷體" w:eastAsia="標楷體"/>
          <w:sz w:val="28"/>
          <w:szCs w:val="28"/>
        </w:rPr>
        <w:t>委員名單，該名單於開始評</w:t>
      </w:r>
      <w:r>
        <w:rPr>
          <w:rFonts w:hint="eastAsia" w:ascii="標楷體" w:hAnsi="標楷體" w:eastAsia="標楷體"/>
          <w:sz w:val="28"/>
          <w:szCs w:val="32"/>
        </w:rPr>
        <w:t>審</w:t>
      </w:r>
      <w:r>
        <w:rPr>
          <w:rFonts w:hint="eastAsia" w:ascii="標楷體" w:hAnsi="標楷體" w:eastAsia="標楷體"/>
          <w:sz w:val="28"/>
          <w:szCs w:val="28"/>
        </w:rPr>
        <w:t>前予以保密，廠商不得探詢委員名單。</w:t>
      </w:r>
    </w:p>
    <w:p w14:paraId="118C5905">
      <w:pPr>
        <w:numPr>
          <w:ilvl w:val="0"/>
          <w:numId w:val="1"/>
        </w:numPr>
        <w:tabs>
          <w:tab w:val="left" w:pos="851"/>
          <w:tab w:val="clear" w:pos="2280"/>
        </w:tabs>
        <w:adjustRightInd w:val="0"/>
        <w:snapToGrid w:val="0"/>
        <w:spacing w:before="180" w:beforeLines="50" w:after="0" w:line="420" w:lineRule="exact"/>
        <w:ind w:left="567" w:right="414" w:hanging="567"/>
        <w:rPr>
          <w:rFonts w:ascii="標楷體" w:hAnsi="標楷體" w:eastAsia="標楷體"/>
          <w:kern w:val="0"/>
          <w:sz w:val="28"/>
          <w:szCs w:val="28"/>
        </w:rPr>
      </w:pPr>
      <w:r>
        <w:rPr>
          <w:rFonts w:ascii="標楷體" w:hAnsi="標楷體" w:eastAsia="標楷體"/>
          <w:kern w:val="0"/>
          <w:sz w:val="28"/>
          <w:szCs w:val="28"/>
        </w:rPr>
        <w:t>其他評</w:t>
      </w:r>
      <w:r>
        <w:rPr>
          <w:rFonts w:ascii="標楷體" w:hAnsi="標楷體" w:eastAsia="標楷體"/>
          <w:kern w:val="0"/>
          <w:szCs w:val="28"/>
        </w:rPr>
        <w:t>審</w:t>
      </w:r>
      <w:r>
        <w:rPr>
          <w:rFonts w:ascii="標楷體" w:hAnsi="標楷體" w:eastAsia="標楷體"/>
          <w:kern w:val="0"/>
          <w:sz w:val="28"/>
          <w:szCs w:val="28"/>
        </w:rPr>
        <w:t>注意事項</w:t>
      </w:r>
      <w:r>
        <w:rPr>
          <w:rFonts w:hint="eastAsia" w:ascii="標楷體" w:hAnsi="標楷體" w:eastAsia="標楷體"/>
          <w:kern w:val="0"/>
          <w:sz w:val="28"/>
          <w:szCs w:val="28"/>
        </w:rPr>
        <w:t>：</w:t>
      </w:r>
    </w:p>
    <w:p w14:paraId="503FC837">
      <w:pPr>
        <w:spacing w:line="460" w:lineRule="exact"/>
        <w:ind w:left="890" w:leftChars="118" w:hanging="607" w:hangingChars="217"/>
        <w:jc w:val="both"/>
        <w:rPr>
          <w:rFonts w:ascii="標楷體" w:hAnsi="標楷體" w:eastAsia="標楷體"/>
          <w:sz w:val="28"/>
          <w:szCs w:val="28"/>
        </w:rPr>
      </w:pPr>
      <w:r>
        <w:rPr>
          <w:rFonts w:ascii="標楷體" w:hAnsi="標楷體" w:eastAsia="標楷體"/>
          <w:sz w:val="28"/>
          <w:szCs w:val="28"/>
        </w:rPr>
        <w:t>一、本案招標作業中，本</w:t>
      </w:r>
      <w:r>
        <w:rPr>
          <w:rFonts w:hint="eastAsia" w:ascii="標楷體" w:hAnsi="標楷體" w:eastAsia="標楷體"/>
          <w:sz w:val="28"/>
          <w:szCs w:val="28"/>
        </w:rPr>
        <w:t>會</w:t>
      </w:r>
      <w:r>
        <w:rPr>
          <w:rFonts w:ascii="標楷體" w:hAnsi="標楷體" w:eastAsia="標楷體"/>
          <w:sz w:val="28"/>
          <w:szCs w:val="28"/>
        </w:rPr>
        <w:t>得因故終止評</w:t>
      </w:r>
      <w:r>
        <w:rPr>
          <w:rFonts w:hint="eastAsia" w:ascii="標楷體" w:hAnsi="標楷體" w:eastAsia="標楷體"/>
          <w:sz w:val="28"/>
          <w:szCs w:val="32"/>
        </w:rPr>
        <w:t>審</w:t>
      </w:r>
      <w:r>
        <w:rPr>
          <w:rFonts w:ascii="標楷體" w:hAnsi="標楷體" w:eastAsia="標楷體"/>
          <w:sz w:val="28"/>
          <w:szCs w:val="28"/>
        </w:rPr>
        <w:t>事宜，通知投標廠商領回</w:t>
      </w:r>
      <w:r>
        <w:rPr>
          <w:rFonts w:hint="eastAsia" w:ascii="標楷體" w:hAnsi="標楷體" w:eastAsia="標楷體"/>
          <w:sz w:val="28"/>
          <w:szCs w:val="28"/>
        </w:rPr>
        <w:t>企劃</w:t>
      </w:r>
      <w:r>
        <w:rPr>
          <w:rFonts w:ascii="標楷體" w:hAnsi="標楷體" w:eastAsia="標楷體"/>
          <w:sz w:val="28"/>
          <w:szCs w:val="28"/>
        </w:rPr>
        <w:t>書。該廠商不得向本</w:t>
      </w:r>
      <w:r>
        <w:rPr>
          <w:rFonts w:hint="eastAsia" w:ascii="標楷體" w:hAnsi="標楷體" w:eastAsia="標楷體"/>
          <w:sz w:val="28"/>
          <w:szCs w:val="28"/>
        </w:rPr>
        <w:t>會</w:t>
      </w:r>
      <w:r>
        <w:rPr>
          <w:rFonts w:ascii="標楷體" w:hAnsi="標楷體" w:eastAsia="標楷體"/>
          <w:sz w:val="28"/>
          <w:szCs w:val="28"/>
        </w:rPr>
        <w:t>請求任何法律請求權及費用。</w:t>
      </w:r>
    </w:p>
    <w:p w14:paraId="39F0D70C">
      <w:pPr>
        <w:spacing w:line="460" w:lineRule="exact"/>
        <w:ind w:left="890" w:leftChars="118" w:hanging="607" w:hangingChars="217"/>
        <w:jc w:val="both"/>
        <w:rPr>
          <w:rFonts w:ascii="標楷體" w:hAnsi="標楷體" w:eastAsia="標楷體"/>
          <w:sz w:val="28"/>
          <w:szCs w:val="28"/>
        </w:rPr>
      </w:pPr>
      <w:r>
        <w:rPr>
          <w:rFonts w:ascii="標楷體" w:hAnsi="標楷體" w:eastAsia="標楷體"/>
          <w:sz w:val="28"/>
          <w:szCs w:val="28"/>
        </w:rPr>
        <w:t>二、本</w:t>
      </w:r>
      <w:r>
        <w:rPr>
          <w:rFonts w:hint="eastAsia" w:ascii="標楷體" w:hAnsi="標楷體" w:eastAsia="標楷體"/>
          <w:sz w:val="28"/>
          <w:szCs w:val="28"/>
        </w:rPr>
        <w:t>會</w:t>
      </w:r>
      <w:r>
        <w:rPr>
          <w:rFonts w:ascii="標楷體" w:hAnsi="標楷體" w:eastAsia="標楷體"/>
          <w:sz w:val="28"/>
          <w:szCs w:val="28"/>
        </w:rPr>
        <w:t>取得基於本</w:t>
      </w:r>
      <w:r>
        <w:rPr>
          <w:rFonts w:hint="eastAsia" w:ascii="標楷體" w:hAnsi="標楷體" w:eastAsia="標楷體"/>
          <w:sz w:val="28"/>
          <w:szCs w:val="28"/>
        </w:rPr>
        <w:t>案</w:t>
      </w:r>
      <w:r>
        <w:rPr>
          <w:rFonts w:ascii="標楷體" w:hAnsi="標楷體" w:eastAsia="標楷體"/>
          <w:sz w:val="28"/>
          <w:szCs w:val="28"/>
        </w:rPr>
        <w:t>勞務</w:t>
      </w:r>
      <w:r>
        <w:rPr>
          <w:rFonts w:hint="eastAsia" w:ascii="標楷體" w:hAnsi="標楷體" w:eastAsia="標楷體"/>
          <w:sz w:val="28"/>
          <w:szCs w:val="28"/>
        </w:rPr>
        <w:t>採購</w:t>
      </w:r>
      <w:r>
        <w:rPr>
          <w:rFonts w:ascii="標楷體" w:hAnsi="標楷體" w:eastAsia="標楷體"/>
          <w:sz w:val="28"/>
          <w:szCs w:val="28"/>
        </w:rPr>
        <w:t>所得成</w:t>
      </w:r>
      <w:r>
        <w:rPr>
          <w:rFonts w:hint="eastAsia" w:ascii="標楷體" w:hAnsi="標楷體" w:eastAsia="標楷體"/>
          <w:sz w:val="28"/>
          <w:szCs w:val="28"/>
        </w:rPr>
        <w:t>果</w:t>
      </w:r>
      <w:r>
        <w:rPr>
          <w:rFonts w:ascii="標楷體" w:hAnsi="標楷體" w:eastAsia="標楷體"/>
          <w:sz w:val="28"/>
          <w:szCs w:val="28"/>
        </w:rPr>
        <w:t>相關物件之著作財產權，同時得標廠商及其使用人應配合同意不行使著作人格權。</w:t>
      </w:r>
    </w:p>
    <w:p w14:paraId="6776C4DE">
      <w:pPr>
        <w:spacing w:line="460" w:lineRule="exact"/>
        <w:ind w:left="890" w:leftChars="118" w:hanging="607" w:hangingChars="217"/>
        <w:jc w:val="both"/>
        <w:rPr>
          <w:rFonts w:ascii="標楷體" w:hAnsi="標楷體" w:eastAsia="標楷體"/>
          <w:sz w:val="28"/>
          <w:szCs w:val="28"/>
        </w:rPr>
      </w:pPr>
      <w:r>
        <w:rPr>
          <w:rFonts w:hint="eastAsia" w:ascii="標楷體" w:hAnsi="標楷體" w:eastAsia="標楷體"/>
          <w:sz w:val="28"/>
          <w:szCs w:val="28"/>
        </w:rPr>
        <w:t>三、</w:t>
      </w:r>
      <w:r>
        <w:rPr>
          <w:rFonts w:ascii="標楷體" w:hAnsi="標楷體" w:eastAsia="標楷體"/>
          <w:sz w:val="28"/>
          <w:szCs w:val="28"/>
        </w:rPr>
        <w:t>本</w:t>
      </w:r>
      <w:r>
        <w:rPr>
          <w:rFonts w:hint="eastAsia" w:ascii="標楷體" w:hAnsi="標楷體" w:eastAsia="標楷體"/>
          <w:sz w:val="28"/>
          <w:szCs w:val="28"/>
        </w:rPr>
        <w:t>案勞務</w:t>
      </w:r>
      <w:r>
        <w:rPr>
          <w:rFonts w:ascii="標楷體" w:hAnsi="標楷體" w:eastAsia="標楷體"/>
          <w:sz w:val="28"/>
          <w:szCs w:val="28"/>
        </w:rPr>
        <w:t>採購有引用其他第三人著作者，應</w:t>
      </w:r>
      <w:r>
        <w:rPr>
          <w:rFonts w:hint="eastAsia" w:ascii="標楷體" w:hAnsi="標楷體" w:eastAsia="標楷體"/>
          <w:sz w:val="28"/>
          <w:szCs w:val="28"/>
        </w:rPr>
        <w:t>事</w:t>
      </w:r>
      <w:r>
        <w:rPr>
          <w:rFonts w:ascii="標楷體" w:hAnsi="標楷體" w:eastAsia="標楷體"/>
          <w:sz w:val="28"/>
          <w:szCs w:val="28"/>
        </w:rPr>
        <w:t>前取得原著作財產權人同意本</w:t>
      </w:r>
      <w:r>
        <w:rPr>
          <w:rFonts w:hint="eastAsia" w:ascii="標楷體" w:hAnsi="標楷體" w:eastAsia="標楷體"/>
          <w:sz w:val="28"/>
          <w:szCs w:val="28"/>
        </w:rPr>
        <w:t>會</w:t>
      </w:r>
      <w:r>
        <w:rPr>
          <w:rFonts w:ascii="標楷體" w:hAnsi="標楷體" w:eastAsia="標楷體"/>
          <w:sz w:val="28"/>
          <w:szCs w:val="28"/>
        </w:rPr>
        <w:t>、</w:t>
      </w:r>
      <w:r>
        <w:rPr>
          <w:rFonts w:hint="eastAsia" w:ascii="標楷體" w:hAnsi="標楷體" w:eastAsia="標楷體"/>
          <w:sz w:val="28"/>
          <w:szCs w:val="28"/>
        </w:rPr>
        <w:t>得</w:t>
      </w:r>
      <w:r>
        <w:rPr>
          <w:rFonts w:ascii="標楷體" w:hAnsi="標楷體" w:eastAsia="標楷體"/>
          <w:sz w:val="28"/>
          <w:szCs w:val="28"/>
        </w:rPr>
        <w:t>標廠商及其等各該使用人應用之證明文件。其有違法不當引用其他第三人著作而造成他人損害者，得標廠商應自行負責處理。</w:t>
      </w:r>
    </w:p>
    <w:p w14:paraId="526B6CDD">
      <w:pPr>
        <w:spacing w:line="460" w:lineRule="exact"/>
        <w:ind w:left="890" w:leftChars="118" w:hanging="607" w:hangingChars="217"/>
        <w:jc w:val="both"/>
        <w:rPr>
          <w:rFonts w:ascii="標楷體" w:hAnsi="標楷體" w:eastAsia="標楷體"/>
          <w:sz w:val="28"/>
          <w:szCs w:val="28"/>
        </w:rPr>
      </w:pPr>
      <w:r>
        <w:rPr>
          <w:rFonts w:ascii="標楷體" w:hAnsi="標楷體" w:eastAsia="標楷體"/>
          <w:sz w:val="28"/>
          <w:szCs w:val="28"/>
        </w:rPr>
        <w:t>四、智慧財產權歸屬:</w:t>
      </w:r>
    </w:p>
    <w:p w14:paraId="7E3C298E">
      <w:pPr>
        <w:spacing w:line="460" w:lineRule="exact"/>
        <w:ind w:left="1415" w:leftChars="354" w:hanging="565" w:hangingChars="202"/>
        <w:jc w:val="both"/>
        <w:rPr>
          <w:rFonts w:ascii="標楷體" w:hAnsi="標楷體" w:eastAsia="標楷體"/>
          <w:sz w:val="28"/>
          <w:szCs w:val="28"/>
        </w:rPr>
      </w:pPr>
      <w:bookmarkStart w:id="19" w:name="_Hlk124325877"/>
      <w:r>
        <w:rPr>
          <w:rFonts w:ascii="標楷體" w:hAnsi="標楷體" w:eastAsia="標楷體"/>
          <w:sz w:val="28"/>
          <w:szCs w:val="28"/>
        </w:rPr>
        <w:t>(</w:t>
      </w:r>
      <w:r>
        <w:rPr>
          <w:rFonts w:hint="eastAsia" w:ascii="標楷體" w:hAnsi="標楷體" w:eastAsia="標楷體"/>
          <w:sz w:val="28"/>
          <w:szCs w:val="28"/>
        </w:rPr>
        <w:t>一</w:t>
      </w:r>
      <w:r>
        <w:rPr>
          <w:rFonts w:ascii="標楷體" w:hAnsi="標楷體" w:eastAsia="標楷體"/>
          <w:sz w:val="28"/>
          <w:szCs w:val="28"/>
        </w:rPr>
        <w:t>)</w:t>
      </w:r>
      <w:bookmarkEnd w:id="19"/>
      <w:r>
        <w:rPr>
          <w:rFonts w:ascii="標楷體" w:hAnsi="標楷體" w:eastAsia="標楷體"/>
          <w:sz w:val="28"/>
          <w:szCs w:val="28"/>
        </w:rPr>
        <w:t>廠商</w:t>
      </w:r>
      <w:bookmarkStart w:id="20" w:name="_Hlk124325435"/>
      <w:r>
        <w:rPr>
          <w:rFonts w:ascii="標楷體" w:hAnsi="標楷體" w:eastAsia="標楷體"/>
          <w:color w:val="5B9BD5"/>
          <w:sz w:val="28"/>
          <w:szCs w:val="28"/>
        </w:rPr>
        <w:t>及得標廠商</w:t>
      </w:r>
      <w:bookmarkEnd w:id="20"/>
      <w:r>
        <w:rPr>
          <w:rFonts w:ascii="標楷體" w:hAnsi="標楷體" w:eastAsia="標楷體"/>
          <w:sz w:val="28"/>
          <w:szCs w:val="28"/>
        </w:rPr>
        <w:t>不符有違反智慧財產權法規之行為。其有違反情事廠商</w:t>
      </w:r>
      <w:r>
        <w:rPr>
          <w:rFonts w:ascii="標楷體" w:hAnsi="標楷體" w:eastAsia="標楷體"/>
          <w:color w:val="5B9BD5"/>
          <w:sz w:val="28"/>
          <w:szCs w:val="28"/>
        </w:rPr>
        <w:t>及得標廠商</w:t>
      </w:r>
      <w:r>
        <w:rPr>
          <w:rFonts w:ascii="標楷體" w:hAnsi="標楷體" w:eastAsia="標楷體"/>
          <w:sz w:val="28"/>
          <w:szCs w:val="28"/>
        </w:rPr>
        <w:t>應承擔相關法律責任，與本</w:t>
      </w:r>
      <w:r>
        <w:rPr>
          <w:rFonts w:hint="eastAsia" w:ascii="標楷體" w:hAnsi="標楷體" w:eastAsia="標楷體"/>
          <w:sz w:val="28"/>
          <w:szCs w:val="28"/>
        </w:rPr>
        <w:t>會</w:t>
      </w:r>
      <w:r>
        <w:rPr>
          <w:rFonts w:ascii="標楷體" w:hAnsi="標楷體" w:eastAsia="標楷體"/>
          <w:sz w:val="28"/>
          <w:szCs w:val="28"/>
        </w:rPr>
        <w:t>無關。</w:t>
      </w:r>
    </w:p>
    <w:p w14:paraId="65133388">
      <w:pPr>
        <w:spacing w:line="460" w:lineRule="exact"/>
        <w:ind w:left="1415" w:leftChars="354" w:hanging="565" w:hangingChars="202"/>
        <w:jc w:val="both"/>
        <w:rPr>
          <w:rFonts w:ascii="標楷體" w:hAnsi="標楷體" w:eastAsia="標楷體"/>
          <w:sz w:val="28"/>
          <w:szCs w:val="28"/>
        </w:rPr>
      </w:pPr>
      <w:r>
        <w:rPr>
          <w:rFonts w:ascii="標楷體" w:hAnsi="標楷體" w:eastAsia="標楷體"/>
          <w:sz w:val="28"/>
          <w:szCs w:val="28"/>
        </w:rPr>
        <w:t>(</w:t>
      </w:r>
      <w:r>
        <w:rPr>
          <w:rFonts w:hint="eastAsia" w:ascii="標楷體" w:hAnsi="標楷體" w:eastAsia="標楷體"/>
          <w:sz w:val="28"/>
          <w:szCs w:val="28"/>
        </w:rPr>
        <w:t>二</w:t>
      </w:r>
      <w:r>
        <w:rPr>
          <w:rFonts w:ascii="標楷體" w:hAnsi="標楷體" w:eastAsia="標楷體"/>
          <w:sz w:val="28"/>
          <w:szCs w:val="28"/>
        </w:rPr>
        <w:t>)</w:t>
      </w:r>
      <w:r>
        <w:rPr>
          <w:rFonts w:hint="eastAsia" w:ascii="標楷體" w:hAnsi="標楷體" w:eastAsia="標楷體"/>
          <w:sz w:val="28"/>
          <w:szCs w:val="28"/>
        </w:rPr>
        <w:t>廠商</w:t>
      </w:r>
      <w:r>
        <w:rPr>
          <w:rFonts w:ascii="標楷體" w:hAnsi="標楷體" w:eastAsia="標楷體"/>
          <w:sz w:val="28"/>
          <w:szCs w:val="28"/>
        </w:rPr>
        <w:t>交付相關文件，其有</w:t>
      </w:r>
      <w:r>
        <w:rPr>
          <w:rFonts w:hint="eastAsia" w:ascii="標楷體" w:hAnsi="標楷體" w:eastAsia="標楷體"/>
          <w:sz w:val="28"/>
          <w:szCs w:val="28"/>
        </w:rPr>
        <w:t>智</w:t>
      </w:r>
      <w:r>
        <w:rPr>
          <w:rFonts w:ascii="標楷體" w:hAnsi="標楷體" w:eastAsia="標楷體"/>
          <w:sz w:val="28"/>
          <w:szCs w:val="28"/>
        </w:rPr>
        <w:t>慧財產權</w:t>
      </w:r>
      <w:r>
        <w:rPr>
          <w:rFonts w:hint="eastAsia" w:ascii="標楷體" w:hAnsi="標楷體" w:eastAsia="標楷體"/>
          <w:sz w:val="28"/>
          <w:szCs w:val="28"/>
        </w:rPr>
        <w:t>及其</w:t>
      </w:r>
      <w:r>
        <w:rPr>
          <w:rFonts w:ascii="標楷體" w:hAnsi="標楷體" w:eastAsia="標楷體"/>
          <w:sz w:val="28"/>
          <w:szCs w:val="28"/>
        </w:rPr>
        <w:t>附著之物件歸屬本</w:t>
      </w:r>
      <w:r>
        <w:rPr>
          <w:rFonts w:hint="eastAsia" w:ascii="標楷體" w:hAnsi="標楷體" w:eastAsia="標楷體"/>
          <w:sz w:val="28"/>
          <w:szCs w:val="28"/>
        </w:rPr>
        <w:t>會</w:t>
      </w:r>
      <w:r>
        <w:rPr>
          <w:rFonts w:ascii="標楷體" w:hAnsi="標楷體" w:eastAsia="標楷體"/>
          <w:sz w:val="28"/>
          <w:szCs w:val="28"/>
        </w:rPr>
        <w:t>所有，三人</w:t>
      </w:r>
      <w:r>
        <w:rPr>
          <w:rFonts w:hint="eastAsia" w:ascii="標楷體" w:hAnsi="標楷體" w:eastAsia="標楷體"/>
          <w:sz w:val="28"/>
          <w:szCs w:val="28"/>
        </w:rPr>
        <w:t>開</w:t>
      </w:r>
      <w:r>
        <w:rPr>
          <w:rFonts w:ascii="標楷體" w:hAnsi="標楷體" w:eastAsia="標楷體"/>
          <w:sz w:val="28"/>
          <w:szCs w:val="28"/>
        </w:rPr>
        <w:t>發之產品或無法判斷是否為第三人產品者，應自行</w:t>
      </w:r>
      <w:r>
        <w:rPr>
          <w:rFonts w:hint="eastAsia" w:ascii="標楷體" w:hAnsi="標楷體" w:eastAsia="標楷體"/>
          <w:sz w:val="28"/>
          <w:szCs w:val="28"/>
        </w:rPr>
        <w:t>保證</w:t>
      </w:r>
      <w:r>
        <w:rPr>
          <w:rFonts w:ascii="標楷體" w:hAnsi="標楷體" w:eastAsia="標楷體"/>
          <w:sz w:val="28"/>
          <w:szCs w:val="28"/>
        </w:rPr>
        <w:t>其使或提供授權</w:t>
      </w:r>
      <w:r>
        <w:rPr>
          <w:rFonts w:hint="eastAsia" w:ascii="標楷體" w:hAnsi="標楷體" w:eastAsia="標楷體"/>
          <w:sz w:val="28"/>
          <w:szCs w:val="28"/>
        </w:rPr>
        <w:t>證</w:t>
      </w:r>
      <w:r>
        <w:rPr>
          <w:rFonts w:ascii="標楷體" w:hAnsi="標楷體" w:eastAsia="標楷體"/>
          <w:sz w:val="28"/>
          <w:szCs w:val="28"/>
        </w:rPr>
        <w:t>明文件保障本</w:t>
      </w:r>
      <w:r>
        <w:rPr>
          <w:rFonts w:hint="eastAsia" w:ascii="標楷體" w:hAnsi="標楷體" w:eastAsia="標楷體"/>
          <w:sz w:val="28"/>
          <w:szCs w:val="28"/>
        </w:rPr>
        <w:t>會</w:t>
      </w:r>
      <w:r>
        <w:rPr>
          <w:rFonts w:ascii="標楷體" w:hAnsi="標楷體" w:eastAsia="標楷體"/>
          <w:sz w:val="28"/>
          <w:szCs w:val="28"/>
        </w:rPr>
        <w:t>具有使用合法性。</w:t>
      </w:r>
    </w:p>
    <w:p w14:paraId="2CACC77E">
      <w:pPr>
        <w:spacing w:line="460" w:lineRule="exact"/>
        <w:ind w:left="1415" w:leftChars="354" w:hanging="565" w:hangingChars="202"/>
        <w:jc w:val="both"/>
        <w:rPr>
          <w:rFonts w:ascii="標楷體" w:hAnsi="標楷體" w:eastAsia="標楷體"/>
          <w:sz w:val="28"/>
          <w:szCs w:val="28"/>
        </w:rPr>
      </w:pPr>
      <w:bookmarkStart w:id="21" w:name="_Hlk124325944"/>
      <w:r>
        <w:rPr>
          <w:rFonts w:ascii="標楷體" w:hAnsi="標楷體" w:eastAsia="標楷體"/>
          <w:sz w:val="28"/>
          <w:szCs w:val="28"/>
        </w:rPr>
        <w:t>(三)</w:t>
      </w:r>
      <w:bookmarkEnd w:id="21"/>
      <w:r>
        <w:rPr>
          <w:rFonts w:ascii="標楷體" w:hAnsi="標楷體" w:eastAsia="標楷體"/>
          <w:sz w:val="28"/>
          <w:szCs w:val="28"/>
        </w:rPr>
        <w:t>反而導</w:t>
      </w:r>
      <w:r>
        <w:rPr>
          <w:rFonts w:hint="eastAsia" w:ascii="標楷體" w:hAnsi="標楷體" w:eastAsia="標楷體"/>
          <w:sz w:val="28"/>
          <w:szCs w:val="28"/>
        </w:rPr>
        <w:t>致</w:t>
      </w:r>
      <w:r>
        <w:rPr>
          <w:rFonts w:ascii="標楷體" w:hAnsi="標楷體" w:eastAsia="標楷體"/>
          <w:sz w:val="28"/>
          <w:szCs w:val="28"/>
        </w:rPr>
        <w:t>本</w:t>
      </w:r>
      <w:r>
        <w:rPr>
          <w:rFonts w:hint="eastAsia" w:ascii="標楷體" w:hAnsi="標楷體" w:eastAsia="標楷體"/>
          <w:sz w:val="28"/>
          <w:szCs w:val="28"/>
        </w:rPr>
        <w:t>會</w:t>
      </w:r>
      <w:r>
        <w:rPr>
          <w:rFonts w:ascii="標楷體" w:hAnsi="標楷體" w:eastAsia="標楷體"/>
          <w:sz w:val="28"/>
          <w:szCs w:val="28"/>
        </w:rPr>
        <w:t>受有損害者，得</w:t>
      </w:r>
      <w:r>
        <w:rPr>
          <w:rFonts w:hint="eastAsia" w:ascii="標楷體" w:hAnsi="標楷體" w:eastAsia="標楷體"/>
          <w:sz w:val="28"/>
          <w:szCs w:val="28"/>
        </w:rPr>
        <w:t>標廠商</w:t>
      </w:r>
      <w:r>
        <w:rPr>
          <w:rFonts w:ascii="標楷體" w:hAnsi="標楷體" w:eastAsia="標楷體"/>
          <w:sz w:val="28"/>
          <w:szCs w:val="28"/>
        </w:rPr>
        <w:t>應負相關損害賠償責任(</w:t>
      </w:r>
      <w:r>
        <w:rPr>
          <w:rFonts w:hint="eastAsia" w:ascii="標楷體" w:hAnsi="標楷體" w:eastAsia="標楷體"/>
          <w:sz w:val="28"/>
          <w:szCs w:val="28"/>
        </w:rPr>
        <w:t>含</w:t>
      </w:r>
      <w:r>
        <w:rPr>
          <w:rFonts w:ascii="標楷體" w:hAnsi="標楷體" w:eastAsia="標楷體"/>
          <w:sz w:val="28"/>
          <w:szCs w:val="28"/>
        </w:rPr>
        <w:t>訴訟、及其他損害賠償</w:t>
      </w:r>
      <w:r>
        <w:rPr>
          <w:rFonts w:hint="eastAsia" w:ascii="標楷體" w:hAnsi="標楷體" w:eastAsia="標楷體"/>
          <w:sz w:val="28"/>
          <w:szCs w:val="28"/>
        </w:rPr>
        <w:t>)</w:t>
      </w:r>
      <w:r>
        <w:rPr>
          <w:rFonts w:ascii="標楷體" w:hAnsi="標楷體" w:eastAsia="標楷體"/>
          <w:sz w:val="28"/>
          <w:szCs w:val="28"/>
        </w:rPr>
        <w:t>。</w:t>
      </w:r>
    </w:p>
    <w:p w14:paraId="7B6DF381">
      <w:pPr>
        <w:spacing w:line="460" w:lineRule="exact"/>
        <w:ind w:left="1415" w:leftChars="354" w:hanging="565" w:hangingChars="202"/>
        <w:jc w:val="both"/>
        <w:rPr>
          <w:rFonts w:ascii="標楷體" w:hAnsi="標楷體" w:eastAsia="標楷體"/>
          <w:sz w:val="28"/>
          <w:szCs w:val="28"/>
        </w:rPr>
      </w:pPr>
      <w:bookmarkStart w:id="22" w:name="_Hlk124326033"/>
      <w:r>
        <w:rPr>
          <w:rFonts w:ascii="標楷體" w:hAnsi="標楷體" w:eastAsia="標楷體"/>
          <w:sz w:val="28"/>
          <w:szCs w:val="28"/>
        </w:rPr>
        <w:t>(四)</w:t>
      </w:r>
      <w:bookmarkEnd w:id="22"/>
      <w:r>
        <w:rPr>
          <w:rFonts w:ascii="標楷體" w:hAnsi="標楷體" w:eastAsia="標楷體"/>
          <w:sz w:val="28"/>
          <w:szCs w:val="28"/>
        </w:rPr>
        <w:t>投標</w:t>
      </w:r>
      <w:r>
        <w:rPr>
          <w:rFonts w:hint="eastAsia" w:ascii="標楷體" w:hAnsi="標楷體" w:eastAsia="標楷體"/>
          <w:sz w:val="28"/>
          <w:szCs w:val="28"/>
        </w:rPr>
        <w:t>廠商</w:t>
      </w:r>
      <w:r>
        <w:rPr>
          <w:rFonts w:ascii="標楷體" w:hAnsi="標楷體" w:eastAsia="標楷體"/>
          <w:sz w:val="28"/>
          <w:szCs w:val="28"/>
        </w:rPr>
        <w:t>對本委辦需求</w:t>
      </w:r>
      <w:r>
        <w:rPr>
          <w:rFonts w:hint="eastAsia" w:ascii="標楷體" w:hAnsi="標楷體" w:eastAsia="標楷體"/>
          <w:sz w:val="28"/>
          <w:szCs w:val="28"/>
        </w:rPr>
        <w:t>規</w:t>
      </w:r>
      <w:r>
        <w:rPr>
          <w:rFonts w:ascii="標楷體" w:hAnsi="標楷體" w:eastAsia="標楷體"/>
          <w:sz w:val="28"/>
          <w:szCs w:val="28"/>
        </w:rPr>
        <w:t>範書如有疑問，向本</w:t>
      </w:r>
      <w:r>
        <w:rPr>
          <w:rFonts w:hint="eastAsia" w:ascii="標楷體" w:hAnsi="標楷體" w:eastAsia="標楷體"/>
          <w:sz w:val="28"/>
          <w:szCs w:val="28"/>
        </w:rPr>
        <w:t>會(02</w:t>
      </w:r>
      <w:r>
        <w:rPr>
          <w:rFonts w:hint="eastAsia" w:ascii="標楷體" w:hAnsi="標楷體" w:eastAsia="標楷體"/>
          <w:color w:val="000000" w:themeColor="text1"/>
          <w:sz w:val="28"/>
          <w:szCs w:val="28"/>
          <w14:textFill>
            <w14:solidFill>
              <w14:schemeClr w14:val="tx1"/>
            </w14:solidFill>
          </w14:textFill>
        </w:rPr>
        <w:t>)8771-1433洽詢</w:t>
      </w:r>
      <w:r>
        <w:rPr>
          <w:rFonts w:hint="eastAsia" w:ascii="標楷體" w:hAnsi="標楷體" w:eastAsia="標楷體"/>
          <w:sz w:val="28"/>
          <w:szCs w:val="28"/>
        </w:rPr>
        <w:t>。</w:t>
      </w:r>
    </w:p>
    <w:p w14:paraId="3AE400D5">
      <w:pPr>
        <w:spacing w:line="460" w:lineRule="exact"/>
        <w:ind w:left="1415" w:leftChars="354" w:hanging="565" w:hangingChars="202"/>
        <w:jc w:val="both"/>
        <w:rPr>
          <w:rFonts w:ascii="標楷體" w:hAnsi="標楷體" w:eastAsia="標楷體"/>
          <w:szCs w:val="28"/>
        </w:rPr>
      </w:pPr>
      <w:r>
        <w:rPr>
          <w:rFonts w:ascii="標楷體" w:hAnsi="標楷體" w:eastAsia="標楷體"/>
          <w:sz w:val="28"/>
          <w:szCs w:val="28"/>
        </w:rPr>
        <w:t>(五)本</w:t>
      </w:r>
      <w:r>
        <w:rPr>
          <w:rFonts w:hint="eastAsia" w:ascii="標楷體" w:hAnsi="標楷體" w:eastAsia="標楷體"/>
          <w:sz w:val="28"/>
          <w:szCs w:val="28"/>
        </w:rPr>
        <w:t>委辦</w:t>
      </w:r>
      <w:r>
        <w:rPr>
          <w:rFonts w:ascii="標楷體" w:hAnsi="標楷體" w:eastAsia="標楷體"/>
          <w:sz w:val="28"/>
          <w:szCs w:val="28"/>
        </w:rPr>
        <w:t>需求規範書如有未盡事宜，均依政府採購相關法規辦理。</w:t>
      </w:r>
    </w:p>
    <w:p w14:paraId="5800C2AB">
      <w:pPr>
        <w:widowControl/>
        <w:rPr>
          <w:rFonts w:ascii="標楷體" w:hAnsi="標楷體" w:eastAsia="標楷體"/>
          <w:szCs w:val="28"/>
        </w:rPr>
      </w:pPr>
    </w:p>
    <w:tbl>
      <w:tblPr>
        <w:tblStyle w:val="3"/>
        <w:tblpPr w:leftFromText="180" w:rightFromText="180" w:vertAnchor="text" w:horzAnchor="margin" w:tblpY="1604"/>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438"/>
        <w:gridCol w:w="839"/>
        <w:gridCol w:w="1600"/>
        <w:gridCol w:w="1601"/>
        <w:gridCol w:w="877"/>
        <w:gridCol w:w="11"/>
      </w:tblGrid>
      <w:tr w14:paraId="6847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0" w:hRule="atLeast"/>
        </w:trPr>
        <w:tc>
          <w:tcPr>
            <w:tcW w:w="1530" w:type="dxa"/>
            <w:vMerge w:val="restart"/>
            <w:shd w:val="clear" w:color="auto" w:fill="auto"/>
            <w:vAlign w:val="center"/>
          </w:tcPr>
          <w:p w14:paraId="1C996478">
            <w:pPr>
              <w:jc w:val="center"/>
              <w:rPr>
                <w:rFonts w:ascii="標楷體" w:hAnsi="標楷體" w:eastAsia="標楷體"/>
                <w:szCs w:val="24"/>
              </w:rPr>
            </w:pPr>
            <w:bookmarkStart w:id="27" w:name="_GoBack"/>
            <w:bookmarkEnd w:id="27"/>
            <w:r>
              <w:rPr>
                <w:rFonts w:hint="eastAsia" w:ascii="標楷體" w:hAnsi="標楷體" w:eastAsia="標楷體"/>
                <w:color w:val="3333FF"/>
                <w:szCs w:val="24"/>
              </w:rPr>
              <w:t>項</w:t>
            </w:r>
            <w:r>
              <w:rPr>
                <w:rFonts w:ascii="標楷體" w:hAnsi="標楷體" w:eastAsia="標楷體"/>
                <w:szCs w:val="24"/>
              </w:rPr>
              <w:t>次/項目</w:t>
            </w:r>
          </w:p>
        </w:tc>
        <w:tc>
          <w:tcPr>
            <w:tcW w:w="3438" w:type="dxa"/>
            <w:vMerge w:val="restart"/>
            <w:vAlign w:val="center"/>
          </w:tcPr>
          <w:p w14:paraId="43B0198C">
            <w:pPr>
              <w:jc w:val="center"/>
              <w:rPr>
                <w:rFonts w:ascii="標楷體" w:hAnsi="標楷體" w:eastAsia="標楷體"/>
                <w:szCs w:val="24"/>
              </w:rPr>
            </w:pPr>
            <w:r>
              <w:rPr>
                <w:rFonts w:hint="eastAsia" w:ascii="標楷體" w:hAnsi="標楷體" w:eastAsia="標楷體"/>
                <w:szCs w:val="24"/>
              </w:rPr>
              <w:t>評審項目</w:t>
            </w:r>
          </w:p>
        </w:tc>
        <w:tc>
          <w:tcPr>
            <w:tcW w:w="839" w:type="dxa"/>
            <w:vMerge w:val="restart"/>
            <w:shd w:val="clear" w:color="auto" w:fill="auto"/>
            <w:vAlign w:val="center"/>
          </w:tcPr>
          <w:p w14:paraId="55D0F46A">
            <w:pPr>
              <w:jc w:val="center"/>
              <w:rPr>
                <w:rFonts w:ascii="標楷體" w:hAnsi="標楷體" w:eastAsia="標楷體"/>
                <w:szCs w:val="24"/>
              </w:rPr>
            </w:pPr>
            <w:r>
              <w:rPr>
                <w:rFonts w:hint="eastAsia" w:ascii="標楷體" w:hAnsi="標楷體" w:eastAsia="標楷體"/>
                <w:szCs w:val="24"/>
              </w:rPr>
              <w:t>配分</w:t>
            </w:r>
          </w:p>
        </w:tc>
        <w:tc>
          <w:tcPr>
            <w:tcW w:w="4078" w:type="dxa"/>
            <w:gridSpan w:val="3"/>
            <w:shd w:val="clear" w:color="auto" w:fill="auto"/>
            <w:vAlign w:val="center"/>
          </w:tcPr>
          <w:p w14:paraId="4C3D5735">
            <w:pPr>
              <w:jc w:val="center"/>
              <w:rPr>
                <w:rFonts w:ascii="標楷體" w:hAnsi="標楷體" w:eastAsia="標楷體"/>
                <w:szCs w:val="24"/>
              </w:rPr>
            </w:pPr>
            <w:r>
              <w:rPr>
                <w:rFonts w:hint="eastAsia" w:ascii="標楷體" w:hAnsi="標楷體" w:eastAsia="標楷體"/>
                <w:szCs w:val="24"/>
              </w:rPr>
              <w:t>廠商編號及得分</w:t>
            </w:r>
          </w:p>
        </w:tc>
      </w:tr>
      <w:tr w14:paraId="539A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44" w:hRule="atLeast"/>
        </w:trPr>
        <w:tc>
          <w:tcPr>
            <w:tcW w:w="1530" w:type="dxa"/>
            <w:vMerge w:val="continue"/>
            <w:shd w:val="clear" w:color="auto" w:fill="auto"/>
          </w:tcPr>
          <w:p w14:paraId="13FF7118">
            <w:pPr>
              <w:rPr>
                <w:rFonts w:ascii="標楷體" w:hAnsi="標楷體" w:eastAsia="標楷體"/>
                <w:szCs w:val="24"/>
              </w:rPr>
            </w:pPr>
          </w:p>
        </w:tc>
        <w:tc>
          <w:tcPr>
            <w:tcW w:w="3438" w:type="dxa"/>
            <w:vMerge w:val="continue"/>
          </w:tcPr>
          <w:p w14:paraId="49A26C9A">
            <w:pPr>
              <w:rPr>
                <w:rFonts w:ascii="標楷體" w:hAnsi="標楷體" w:eastAsia="標楷體"/>
                <w:szCs w:val="24"/>
              </w:rPr>
            </w:pPr>
          </w:p>
        </w:tc>
        <w:tc>
          <w:tcPr>
            <w:tcW w:w="839" w:type="dxa"/>
            <w:vMerge w:val="continue"/>
            <w:shd w:val="clear" w:color="auto" w:fill="auto"/>
          </w:tcPr>
          <w:p w14:paraId="772D2356">
            <w:pPr>
              <w:rPr>
                <w:rFonts w:ascii="標楷體" w:hAnsi="標楷體" w:eastAsia="標楷體"/>
                <w:szCs w:val="24"/>
              </w:rPr>
            </w:pPr>
          </w:p>
        </w:tc>
        <w:tc>
          <w:tcPr>
            <w:tcW w:w="1600" w:type="dxa"/>
            <w:shd w:val="clear" w:color="auto" w:fill="auto"/>
            <w:vAlign w:val="center"/>
          </w:tcPr>
          <w:p w14:paraId="19B1A0D1">
            <w:pPr>
              <w:jc w:val="center"/>
              <w:rPr>
                <w:rFonts w:ascii="標楷體" w:hAnsi="標楷體" w:eastAsia="標楷體"/>
                <w:szCs w:val="24"/>
              </w:rPr>
            </w:pPr>
            <w:r>
              <w:rPr>
                <w:rFonts w:hint="eastAsia" w:ascii="標楷體" w:hAnsi="標楷體" w:eastAsia="標楷體"/>
                <w:szCs w:val="24"/>
              </w:rPr>
              <w:t>廠商1</w:t>
            </w:r>
          </w:p>
        </w:tc>
        <w:tc>
          <w:tcPr>
            <w:tcW w:w="1601" w:type="dxa"/>
          </w:tcPr>
          <w:p w14:paraId="4E732E18">
            <w:pPr>
              <w:jc w:val="center"/>
              <w:rPr>
                <w:rFonts w:ascii="標楷體" w:hAnsi="標楷體" w:eastAsia="標楷體"/>
                <w:szCs w:val="24"/>
              </w:rPr>
            </w:pPr>
            <w:r>
              <w:rPr>
                <w:rFonts w:hint="eastAsia" w:ascii="標楷體" w:hAnsi="標楷體" w:eastAsia="標楷體"/>
                <w:szCs w:val="24"/>
              </w:rPr>
              <w:t>廠商2</w:t>
            </w:r>
          </w:p>
        </w:tc>
        <w:tc>
          <w:tcPr>
            <w:tcW w:w="877" w:type="dxa"/>
            <w:shd w:val="clear" w:color="auto" w:fill="auto"/>
            <w:vAlign w:val="center"/>
          </w:tcPr>
          <w:p w14:paraId="33BC2317">
            <w:pPr>
              <w:jc w:val="center"/>
              <w:rPr>
                <w:rFonts w:ascii="標楷體" w:hAnsi="標楷體" w:eastAsia="標楷體"/>
                <w:szCs w:val="24"/>
              </w:rPr>
            </w:pPr>
            <w:r>
              <w:rPr>
                <w:rFonts w:hint="eastAsia" w:ascii="標楷體" w:hAnsi="標楷體" w:eastAsia="標楷體"/>
                <w:szCs w:val="24"/>
              </w:rPr>
              <w:t>廠商</w:t>
            </w:r>
            <w:r>
              <w:rPr>
                <w:rFonts w:ascii="標楷體" w:hAnsi="標楷體" w:eastAsia="標楷體"/>
                <w:szCs w:val="24"/>
              </w:rPr>
              <w:t>3</w:t>
            </w:r>
          </w:p>
        </w:tc>
      </w:tr>
      <w:tr w14:paraId="1500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53" w:hRule="atLeast"/>
        </w:trPr>
        <w:tc>
          <w:tcPr>
            <w:tcW w:w="1530" w:type="dxa"/>
            <w:shd w:val="clear" w:color="auto" w:fill="auto"/>
            <w:vAlign w:val="center"/>
          </w:tcPr>
          <w:p w14:paraId="7A1EC621">
            <w:pPr>
              <w:spacing w:line="400" w:lineRule="exact"/>
              <w:ind w:left="-103" w:leftChars="-43" w:firstLine="1"/>
              <w:jc w:val="center"/>
              <w:rPr>
                <w:rFonts w:ascii="標楷體" w:hAnsi="標楷體" w:eastAsia="標楷體"/>
                <w:szCs w:val="24"/>
              </w:rPr>
            </w:pPr>
            <w:r>
              <w:rPr>
                <w:rFonts w:hint="eastAsia" w:ascii="標楷體" w:hAnsi="標楷體" w:eastAsia="標楷體"/>
                <w:szCs w:val="24"/>
              </w:rPr>
              <w:t>1</w:t>
            </w:r>
          </w:p>
        </w:tc>
        <w:tc>
          <w:tcPr>
            <w:tcW w:w="3438" w:type="dxa"/>
            <w:tcBorders>
              <w:top w:val="double" w:color="auto" w:sz="4" w:space="0"/>
            </w:tcBorders>
          </w:tcPr>
          <w:p w14:paraId="09A3DF98">
            <w:pPr>
              <w:rPr>
                <w:rFonts w:ascii="標楷體" w:hAnsi="標楷體" w:eastAsia="標楷體"/>
                <w:color w:val="FF0000"/>
                <w:szCs w:val="24"/>
              </w:rPr>
            </w:pPr>
            <w:r>
              <w:rPr>
                <w:rFonts w:hint="eastAsia" w:ascii="標楷體" w:hAnsi="標楷體" w:eastAsia="標楷體"/>
                <w:kern w:val="0"/>
              </w:rPr>
              <w:t>轉播計畫完整度</w:t>
            </w:r>
          </w:p>
        </w:tc>
        <w:tc>
          <w:tcPr>
            <w:tcW w:w="839" w:type="dxa"/>
            <w:shd w:val="clear" w:color="auto" w:fill="auto"/>
          </w:tcPr>
          <w:p w14:paraId="6EC58A94">
            <w:pPr>
              <w:jc w:val="center"/>
              <w:rPr>
                <w:rFonts w:ascii="標楷體" w:hAnsi="標楷體" w:eastAsia="標楷體"/>
                <w:szCs w:val="24"/>
              </w:rPr>
            </w:pPr>
            <w:r>
              <w:rPr>
                <w:rFonts w:hint="eastAsia"/>
              </w:rPr>
              <w:t>40分</w:t>
            </w:r>
          </w:p>
        </w:tc>
        <w:tc>
          <w:tcPr>
            <w:tcW w:w="1600" w:type="dxa"/>
            <w:shd w:val="clear" w:color="auto" w:fill="auto"/>
            <w:vAlign w:val="center"/>
          </w:tcPr>
          <w:p w14:paraId="2B625118">
            <w:pPr>
              <w:jc w:val="center"/>
              <w:rPr>
                <w:rFonts w:ascii="標楷體" w:hAnsi="標楷體" w:eastAsia="標楷體"/>
                <w:szCs w:val="24"/>
              </w:rPr>
            </w:pPr>
          </w:p>
        </w:tc>
        <w:tc>
          <w:tcPr>
            <w:tcW w:w="1601" w:type="dxa"/>
          </w:tcPr>
          <w:p w14:paraId="75CDCCF9">
            <w:pPr>
              <w:jc w:val="center"/>
              <w:rPr>
                <w:rFonts w:ascii="標楷體" w:hAnsi="標楷體" w:eastAsia="標楷體"/>
                <w:szCs w:val="24"/>
              </w:rPr>
            </w:pPr>
          </w:p>
        </w:tc>
        <w:tc>
          <w:tcPr>
            <w:tcW w:w="877" w:type="dxa"/>
            <w:shd w:val="clear" w:color="auto" w:fill="auto"/>
            <w:vAlign w:val="center"/>
          </w:tcPr>
          <w:p w14:paraId="733D62B1">
            <w:pPr>
              <w:jc w:val="center"/>
              <w:rPr>
                <w:rFonts w:ascii="標楷體" w:hAnsi="標楷體" w:eastAsia="標楷體"/>
                <w:szCs w:val="24"/>
              </w:rPr>
            </w:pPr>
          </w:p>
        </w:tc>
      </w:tr>
      <w:tr w14:paraId="620C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18" w:hRule="atLeast"/>
        </w:trPr>
        <w:tc>
          <w:tcPr>
            <w:tcW w:w="1530" w:type="dxa"/>
            <w:shd w:val="clear" w:color="auto" w:fill="auto"/>
            <w:vAlign w:val="center"/>
          </w:tcPr>
          <w:p w14:paraId="3ECF5EEC">
            <w:pPr>
              <w:ind w:leftChars="-42" w:hanging="100" w:hangingChars="42"/>
              <w:jc w:val="center"/>
              <w:rPr>
                <w:rFonts w:ascii="標楷體" w:hAnsi="標楷體" w:eastAsia="標楷體"/>
                <w:szCs w:val="24"/>
              </w:rPr>
            </w:pPr>
            <w:r>
              <w:rPr>
                <w:rFonts w:hint="eastAsia" w:ascii="標楷體" w:hAnsi="標楷體" w:eastAsia="標楷體"/>
                <w:szCs w:val="24"/>
              </w:rPr>
              <w:t>2</w:t>
            </w:r>
          </w:p>
        </w:tc>
        <w:tc>
          <w:tcPr>
            <w:tcW w:w="3438" w:type="dxa"/>
          </w:tcPr>
          <w:p w14:paraId="34796B96">
            <w:pPr>
              <w:rPr>
                <w:rFonts w:ascii="標楷體" w:hAnsi="標楷體" w:eastAsia="標楷體"/>
                <w:color w:val="FF0000"/>
                <w:szCs w:val="24"/>
              </w:rPr>
            </w:pPr>
            <w:r>
              <w:rPr>
                <w:rFonts w:ascii="標楷體" w:hAnsi="標楷體" w:eastAsia="標楷體"/>
                <w:kern w:val="0"/>
              </w:rPr>
              <w:t>廠商之規模</w:t>
            </w:r>
            <w:r>
              <w:rPr>
                <w:rFonts w:hint="eastAsia" w:ascii="標楷體" w:hAnsi="標楷體" w:eastAsia="標楷體"/>
                <w:kern w:val="0"/>
              </w:rPr>
              <w:t>、</w:t>
            </w:r>
            <w:r>
              <w:rPr>
                <w:rFonts w:ascii="標楷體" w:hAnsi="標楷體" w:eastAsia="標楷體"/>
                <w:kern w:val="0"/>
              </w:rPr>
              <w:t>能力</w:t>
            </w:r>
            <w:r>
              <w:rPr>
                <w:rFonts w:hint="eastAsia" w:ascii="標楷體" w:hAnsi="標楷體" w:eastAsia="標楷體"/>
                <w:kern w:val="0"/>
              </w:rPr>
              <w:t>、經驗及執行本案工作人員能力與專業性、配合度</w:t>
            </w:r>
          </w:p>
        </w:tc>
        <w:tc>
          <w:tcPr>
            <w:tcW w:w="839" w:type="dxa"/>
            <w:shd w:val="clear" w:color="auto" w:fill="auto"/>
          </w:tcPr>
          <w:p w14:paraId="312129E4">
            <w:pPr>
              <w:jc w:val="center"/>
              <w:rPr>
                <w:rFonts w:ascii="標楷體" w:hAnsi="標楷體" w:eastAsia="標楷體"/>
                <w:szCs w:val="24"/>
              </w:rPr>
            </w:pPr>
            <w:r>
              <w:rPr>
                <w:rFonts w:hint="eastAsia"/>
              </w:rPr>
              <w:t>30分</w:t>
            </w:r>
          </w:p>
        </w:tc>
        <w:tc>
          <w:tcPr>
            <w:tcW w:w="1600" w:type="dxa"/>
            <w:shd w:val="clear" w:color="auto" w:fill="auto"/>
            <w:vAlign w:val="center"/>
          </w:tcPr>
          <w:p w14:paraId="6050E5D8">
            <w:pPr>
              <w:jc w:val="center"/>
              <w:rPr>
                <w:rFonts w:ascii="標楷體" w:hAnsi="標楷體" w:eastAsia="標楷體"/>
                <w:szCs w:val="24"/>
              </w:rPr>
            </w:pPr>
          </w:p>
        </w:tc>
        <w:tc>
          <w:tcPr>
            <w:tcW w:w="1601" w:type="dxa"/>
          </w:tcPr>
          <w:p w14:paraId="1A8E7D64">
            <w:pPr>
              <w:jc w:val="center"/>
              <w:rPr>
                <w:rFonts w:ascii="標楷體" w:hAnsi="標楷體" w:eastAsia="標楷體"/>
                <w:szCs w:val="24"/>
              </w:rPr>
            </w:pPr>
          </w:p>
        </w:tc>
        <w:tc>
          <w:tcPr>
            <w:tcW w:w="877" w:type="dxa"/>
            <w:shd w:val="clear" w:color="auto" w:fill="auto"/>
            <w:vAlign w:val="center"/>
          </w:tcPr>
          <w:p w14:paraId="676D2AB6">
            <w:pPr>
              <w:jc w:val="center"/>
              <w:rPr>
                <w:rFonts w:ascii="標楷體" w:hAnsi="標楷體" w:eastAsia="標楷體"/>
                <w:szCs w:val="24"/>
              </w:rPr>
            </w:pPr>
          </w:p>
        </w:tc>
      </w:tr>
      <w:tr w14:paraId="453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06" w:hRule="atLeast"/>
        </w:trPr>
        <w:tc>
          <w:tcPr>
            <w:tcW w:w="1530" w:type="dxa"/>
            <w:shd w:val="clear" w:color="auto" w:fill="auto"/>
            <w:vAlign w:val="center"/>
          </w:tcPr>
          <w:p w14:paraId="113BF87D">
            <w:pPr>
              <w:jc w:val="center"/>
              <w:rPr>
                <w:rFonts w:ascii="標楷體" w:hAnsi="標楷體" w:eastAsia="標楷體"/>
                <w:szCs w:val="24"/>
              </w:rPr>
            </w:pPr>
            <w:r>
              <w:rPr>
                <w:rFonts w:ascii="標楷體" w:hAnsi="標楷體" w:eastAsia="標楷體"/>
                <w:szCs w:val="24"/>
              </w:rPr>
              <w:t>3</w:t>
            </w:r>
          </w:p>
        </w:tc>
        <w:tc>
          <w:tcPr>
            <w:tcW w:w="3438" w:type="dxa"/>
          </w:tcPr>
          <w:p w14:paraId="44B88816">
            <w:pPr>
              <w:rPr>
                <w:rFonts w:ascii="標楷體" w:hAnsi="標楷體" w:eastAsia="標楷體"/>
                <w:szCs w:val="24"/>
              </w:rPr>
            </w:pPr>
            <w:r>
              <w:rPr>
                <w:rFonts w:ascii="標楷體" w:hAnsi="標楷體" w:eastAsia="標楷體"/>
                <w:kern w:val="0"/>
              </w:rPr>
              <w:t>經費運用合理性</w:t>
            </w:r>
          </w:p>
        </w:tc>
        <w:tc>
          <w:tcPr>
            <w:tcW w:w="839" w:type="dxa"/>
            <w:shd w:val="clear" w:color="auto" w:fill="auto"/>
          </w:tcPr>
          <w:p w14:paraId="76498211">
            <w:pPr>
              <w:jc w:val="center"/>
              <w:rPr>
                <w:rFonts w:ascii="標楷體" w:hAnsi="標楷體" w:eastAsia="標楷體"/>
                <w:szCs w:val="24"/>
              </w:rPr>
            </w:pPr>
            <w:r>
              <w:rPr>
                <w:rFonts w:hint="eastAsia"/>
              </w:rPr>
              <w:t>20分</w:t>
            </w:r>
          </w:p>
        </w:tc>
        <w:tc>
          <w:tcPr>
            <w:tcW w:w="1600" w:type="dxa"/>
            <w:shd w:val="clear" w:color="auto" w:fill="auto"/>
            <w:vAlign w:val="center"/>
          </w:tcPr>
          <w:p w14:paraId="7D0FAA5A">
            <w:pPr>
              <w:jc w:val="center"/>
              <w:rPr>
                <w:rFonts w:ascii="標楷體" w:hAnsi="標楷體" w:eastAsia="標楷體"/>
                <w:szCs w:val="24"/>
              </w:rPr>
            </w:pPr>
          </w:p>
        </w:tc>
        <w:tc>
          <w:tcPr>
            <w:tcW w:w="1601" w:type="dxa"/>
          </w:tcPr>
          <w:p w14:paraId="5D07395A">
            <w:pPr>
              <w:jc w:val="center"/>
              <w:rPr>
                <w:rFonts w:ascii="標楷體" w:hAnsi="標楷體" w:eastAsia="標楷體"/>
                <w:szCs w:val="24"/>
              </w:rPr>
            </w:pPr>
          </w:p>
        </w:tc>
        <w:tc>
          <w:tcPr>
            <w:tcW w:w="877" w:type="dxa"/>
            <w:shd w:val="clear" w:color="auto" w:fill="auto"/>
            <w:vAlign w:val="center"/>
          </w:tcPr>
          <w:p w14:paraId="793018DE">
            <w:pPr>
              <w:jc w:val="center"/>
              <w:rPr>
                <w:rFonts w:ascii="標楷體" w:hAnsi="標楷體" w:eastAsia="標楷體"/>
                <w:szCs w:val="24"/>
              </w:rPr>
            </w:pPr>
          </w:p>
        </w:tc>
      </w:tr>
      <w:tr w14:paraId="3C82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6" w:hRule="atLeast"/>
        </w:trPr>
        <w:tc>
          <w:tcPr>
            <w:tcW w:w="1530" w:type="dxa"/>
            <w:shd w:val="clear" w:color="auto" w:fill="auto"/>
            <w:vAlign w:val="center"/>
          </w:tcPr>
          <w:p w14:paraId="6A3E60FA">
            <w:pPr>
              <w:jc w:val="center"/>
              <w:rPr>
                <w:rFonts w:ascii="標楷體" w:hAnsi="標楷體" w:eastAsia="標楷體"/>
                <w:szCs w:val="24"/>
              </w:rPr>
            </w:pPr>
            <w:r>
              <w:rPr>
                <w:rFonts w:ascii="標楷體" w:hAnsi="標楷體" w:eastAsia="標楷體"/>
                <w:szCs w:val="24"/>
              </w:rPr>
              <w:t>4</w:t>
            </w:r>
          </w:p>
        </w:tc>
        <w:tc>
          <w:tcPr>
            <w:tcW w:w="3438" w:type="dxa"/>
          </w:tcPr>
          <w:p w14:paraId="761B415E">
            <w:pPr>
              <w:rPr>
                <w:rFonts w:ascii="標楷體" w:hAnsi="標楷體" w:eastAsia="標楷體"/>
                <w:szCs w:val="24"/>
              </w:rPr>
            </w:pPr>
            <w:r>
              <w:rPr>
                <w:rFonts w:ascii="標楷體" w:hAnsi="標楷體" w:eastAsia="標楷體"/>
                <w:kern w:val="0"/>
              </w:rPr>
              <w:t>簡報廠商簡報與答詢</w:t>
            </w:r>
          </w:p>
        </w:tc>
        <w:tc>
          <w:tcPr>
            <w:tcW w:w="839" w:type="dxa"/>
            <w:shd w:val="clear" w:color="auto" w:fill="auto"/>
          </w:tcPr>
          <w:p w14:paraId="0EA7983B">
            <w:pPr>
              <w:jc w:val="center"/>
              <w:rPr>
                <w:rFonts w:ascii="標楷體" w:hAnsi="標楷體" w:eastAsia="標楷體"/>
                <w:szCs w:val="24"/>
              </w:rPr>
            </w:pPr>
            <w:r>
              <w:rPr>
                <w:rFonts w:hint="eastAsia"/>
              </w:rPr>
              <w:t>10分</w:t>
            </w:r>
          </w:p>
        </w:tc>
        <w:tc>
          <w:tcPr>
            <w:tcW w:w="1600" w:type="dxa"/>
            <w:shd w:val="clear" w:color="auto" w:fill="auto"/>
            <w:vAlign w:val="center"/>
          </w:tcPr>
          <w:p w14:paraId="4E87C442">
            <w:pPr>
              <w:jc w:val="center"/>
              <w:rPr>
                <w:rFonts w:ascii="標楷體" w:hAnsi="標楷體" w:eastAsia="標楷體"/>
                <w:szCs w:val="24"/>
              </w:rPr>
            </w:pPr>
          </w:p>
        </w:tc>
        <w:tc>
          <w:tcPr>
            <w:tcW w:w="1601" w:type="dxa"/>
          </w:tcPr>
          <w:p w14:paraId="4980F3FD">
            <w:pPr>
              <w:jc w:val="center"/>
              <w:rPr>
                <w:rFonts w:ascii="標楷體" w:hAnsi="標楷體" w:eastAsia="標楷體"/>
                <w:szCs w:val="24"/>
              </w:rPr>
            </w:pPr>
          </w:p>
        </w:tc>
        <w:tc>
          <w:tcPr>
            <w:tcW w:w="877" w:type="dxa"/>
            <w:shd w:val="clear" w:color="auto" w:fill="auto"/>
            <w:vAlign w:val="center"/>
          </w:tcPr>
          <w:p w14:paraId="731D0CD8">
            <w:pPr>
              <w:jc w:val="center"/>
              <w:rPr>
                <w:rFonts w:ascii="標楷體" w:hAnsi="標楷體" w:eastAsia="標楷體"/>
                <w:szCs w:val="24"/>
              </w:rPr>
            </w:pPr>
          </w:p>
        </w:tc>
      </w:tr>
      <w:tr w14:paraId="1D05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5" w:hRule="atLeast"/>
        </w:trPr>
        <w:tc>
          <w:tcPr>
            <w:tcW w:w="4968" w:type="dxa"/>
            <w:gridSpan w:val="2"/>
            <w:shd w:val="clear" w:color="auto" w:fill="auto"/>
          </w:tcPr>
          <w:p w14:paraId="7D8552B5">
            <w:pPr>
              <w:jc w:val="center"/>
              <w:rPr>
                <w:rFonts w:ascii="標楷體" w:hAnsi="標楷體" w:eastAsia="標楷體"/>
                <w:szCs w:val="24"/>
              </w:rPr>
            </w:pPr>
            <w:r>
              <w:rPr>
                <w:rFonts w:hint="eastAsia" w:ascii="標楷體" w:hAnsi="標楷體" w:eastAsia="標楷體"/>
                <w:szCs w:val="24"/>
              </w:rPr>
              <w:t>得分合計/平均分數</w:t>
            </w:r>
          </w:p>
        </w:tc>
        <w:tc>
          <w:tcPr>
            <w:tcW w:w="839" w:type="dxa"/>
            <w:shd w:val="clear" w:color="auto" w:fill="auto"/>
            <w:vAlign w:val="center"/>
          </w:tcPr>
          <w:p w14:paraId="7EC2F6C4">
            <w:pPr>
              <w:jc w:val="center"/>
              <w:rPr>
                <w:rFonts w:ascii="標楷體" w:hAnsi="標楷體" w:eastAsia="標楷體"/>
                <w:szCs w:val="24"/>
              </w:rPr>
            </w:pPr>
          </w:p>
        </w:tc>
        <w:tc>
          <w:tcPr>
            <w:tcW w:w="1600" w:type="dxa"/>
            <w:shd w:val="clear" w:color="auto" w:fill="auto"/>
            <w:vAlign w:val="center"/>
          </w:tcPr>
          <w:p w14:paraId="1881B7B7">
            <w:pPr>
              <w:jc w:val="center"/>
              <w:rPr>
                <w:rFonts w:ascii="標楷體" w:hAnsi="標楷體" w:eastAsia="標楷體"/>
                <w:szCs w:val="24"/>
              </w:rPr>
            </w:pPr>
          </w:p>
        </w:tc>
        <w:tc>
          <w:tcPr>
            <w:tcW w:w="1601" w:type="dxa"/>
          </w:tcPr>
          <w:p w14:paraId="43719A5B">
            <w:pPr>
              <w:jc w:val="center"/>
              <w:rPr>
                <w:rFonts w:ascii="標楷體" w:hAnsi="標楷體" w:eastAsia="標楷體"/>
                <w:szCs w:val="24"/>
              </w:rPr>
            </w:pPr>
          </w:p>
        </w:tc>
        <w:tc>
          <w:tcPr>
            <w:tcW w:w="877" w:type="dxa"/>
            <w:shd w:val="clear" w:color="auto" w:fill="auto"/>
            <w:vAlign w:val="center"/>
          </w:tcPr>
          <w:p w14:paraId="783B7BB5">
            <w:pPr>
              <w:jc w:val="center"/>
              <w:rPr>
                <w:rFonts w:ascii="標楷體" w:hAnsi="標楷體" w:eastAsia="標楷體"/>
                <w:szCs w:val="24"/>
              </w:rPr>
            </w:pPr>
          </w:p>
        </w:tc>
      </w:tr>
      <w:tr w14:paraId="78BC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5" w:hRule="atLeast"/>
        </w:trPr>
        <w:tc>
          <w:tcPr>
            <w:tcW w:w="4968" w:type="dxa"/>
            <w:gridSpan w:val="2"/>
            <w:shd w:val="clear" w:color="auto" w:fill="auto"/>
          </w:tcPr>
          <w:p w14:paraId="020128D8">
            <w:pPr>
              <w:ind w:firstLine="871" w:firstLineChars="363"/>
              <w:jc w:val="center"/>
              <w:rPr>
                <w:rFonts w:ascii="標楷體" w:hAnsi="標楷體" w:eastAsia="標楷體"/>
                <w:szCs w:val="24"/>
              </w:rPr>
            </w:pPr>
            <w:r>
              <w:rPr>
                <w:rFonts w:hint="eastAsia" w:ascii="標楷體" w:hAnsi="標楷體" w:eastAsia="標楷體"/>
                <w:szCs w:val="24"/>
              </w:rPr>
              <w:t>轉換為序位</w:t>
            </w:r>
          </w:p>
        </w:tc>
        <w:tc>
          <w:tcPr>
            <w:tcW w:w="839" w:type="dxa"/>
            <w:shd w:val="clear" w:color="auto" w:fill="auto"/>
          </w:tcPr>
          <w:p w14:paraId="018888A4">
            <w:pPr>
              <w:rPr>
                <w:rFonts w:ascii="標楷體" w:hAnsi="標楷體" w:eastAsia="標楷體"/>
                <w:szCs w:val="24"/>
              </w:rPr>
            </w:pPr>
          </w:p>
        </w:tc>
        <w:tc>
          <w:tcPr>
            <w:tcW w:w="1600" w:type="dxa"/>
            <w:shd w:val="clear" w:color="auto" w:fill="auto"/>
          </w:tcPr>
          <w:p w14:paraId="6DEEA876">
            <w:pPr>
              <w:rPr>
                <w:rFonts w:ascii="標楷體" w:hAnsi="標楷體" w:eastAsia="標楷體"/>
                <w:szCs w:val="24"/>
              </w:rPr>
            </w:pPr>
          </w:p>
        </w:tc>
        <w:tc>
          <w:tcPr>
            <w:tcW w:w="1601" w:type="dxa"/>
          </w:tcPr>
          <w:p w14:paraId="77C1A022">
            <w:pPr>
              <w:rPr>
                <w:rFonts w:ascii="標楷體" w:hAnsi="標楷體" w:eastAsia="標楷體"/>
                <w:szCs w:val="24"/>
              </w:rPr>
            </w:pPr>
          </w:p>
        </w:tc>
        <w:tc>
          <w:tcPr>
            <w:tcW w:w="877" w:type="dxa"/>
            <w:shd w:val="clear" w:color="auto" w:fill="auto"/>
          </w:tcPr>
          <w:p w14:paraId="5A292D50">
            <w:pPr>
              <w:rPr>
                <w:rFonts w:ascii="標楷體" w:hAnsi="標楷體" w:eastAsia="標楷體"/>
                <w:szCs w:val="24"/>
              </w:rPr>
            </w:pPr>
          </w:p>
        </w:tc>
      </w:tr>
      <w:tr w14:paraId="1B8A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30" w:type="dxa"/>
          </w:tcPr>
          <w:p w14:paraId="69A59EA3">
            <w:pPr>
              <w:rPr>
                <w:rFonts w:ascii="標楷體" w:hAnsi="標楷體" w:eastAsia="標楷體"/>
                <w:szCs w:val="24"/>
              </w:rPr>
            </w:pPr>
          </w:p>
        </w:tc>
        <w:tc>
          <w:tcPr>
            <w:tcW w:w="8366" w:type="dxa"/>
            <w:gridSpan w:val="6"/>
            <w:shd w:val="clear" w:color="auto" w:fill="auto"/>
          </w:tcPr>
          <w:p w14:paraId="11C3B1DA">
            <w:pPr>
              <w:rPr>
                <w:rFonts w:ascii="標楷體" w:hAnsi="標楷體" w:eastAsia="標楷體"/>
                <w:szCs w:val="24"/>
              </w:rPr>
            </w:pPr>
            <w:r>
              <w:rPr>
                <w:rFonts w:hint="eastAsia" w:ascii="標楷體" w:hAnsi="標楷體" w:eastAsia="標楷體"/>
                <w:szCs w:val="24"/>
              </w:rPr>
              <w:t>評審意見欄：</w:t>
            </w:r>
          </w:p>
        </w:tc>
      </w:tr>
      <w:tr w14:paraId="3A55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tcPr>
          <w:p w14:paraId="34473BDF">
            <w:pPr>
              <w:rPr>
                <w:rFonts w:ascii="標楷體" w:hAnsi="標楷體" w:eastAsia="標楷體"/>
                <w:color w:val="000000" w:themeColor="text1"/>
                <w:szCs w:val="24"/>
                <w14:textFill>
                  <w14:solidFill>
                    <w14:schemeClr w14:val="tx1"/>
                  </w14:solidFill>
                </w14:textFill>
              </w:rPr>
            </w:pPr>
          </w:p>
        </w:tc>
        <w:tc>
          <w:tcPr>
            <w:tcW w:w="8366" w:type="dxa"/>
            <w:gridSpan w:val="6"/>
            <w:shd w:val="clear" w:color="auto" w:fill="auto"/>
          </w:tcPr>
          <w:p w14:paraId="2BD099DA">
            <w:pP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備註：一、委員應就各該評審項目分別得分加總後並轉換算為序位。</w:t>
            </w:r>
          </w:p>
          <w:p w14:paraId="7CAB10BD">
            <w:pP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二、投標廠商未出席簡報及現場詢答者，不影響其投標文件之有效性，故仍須納入評審，簡報與答詢項目可評其零分。</w:t>
            </w:r>
          </w:p>
          <w:p w14:paraId="49AE2CFA">
            <w:pP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三、參加簡報時，以企劃書內容為範圍，簡報資料非投標文件不得納入評選範圍，且不得藉以更改投標文件內容。</w:t>
            </w:r>
          </w:p>
          <w:p w14:paraId="3A0058A6">
            <w:pP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四、評審結果於簽報本會理事長或其授權人員核定後方生效。</w:t>
            </w:r>
          </w:p>
        </w:tc>
      </w:tr>
    </w:tbl>
    <w:p w14:paraId="1E2E4871">
      <w:pPr>
        <w:spacing w:line="420" w:lineRule="exact"/>
        <w:rPr>
          <w:rFonts w:ascii="標楷體" w:hAnsi="標楷體" w:eastAsia="標楷體"/>
          <w:bCs/>
          <w:color w:val="000000" w:themeColor="text1"/>
          <w:sz w:val="32"/>
          <w:szCs w:val="32"/>
          <w14:textFill>
            <w14:solidFill>
              <w14:schemeClr w14:val="tx1"/>
            </w14:solidFill>
          </w14:textFill>
        </w:rPr>
      </w:pPr>
      <w:r>
        <w:rPr>
          <w:rFonts w:hint="eastAsia" w:ascii="標楷體" w:hAnsi="標楷體" w:eastAsia="標楷體"/>
          <w:bCs/>
          <w:color w:val="000000" w:themeColor="text1"/>
          <w:sz w:val="32"/>
          <w:szCs w:val="32"/>
          <w14:textFill>
            <w14:solidFill>
              <w14:schemeClr w14:val="tx1"/>
            </w14:solidFill>
          </w14:textFill>
        </w:rPr>
        <w:t>中華民國網球協會「2025年亞洲聯盟盃橄欖球錦標賽-轉播採購案</w:t>
      </w:r>
      <w:r>
        <w:rPr>
          <w:rFonts w:hint="eastAsia" w:ascii="標楷體" w:hAnsi="標楷體" w:eastAsia="標楷體"/>
          <w:bCs/>
          <w:color w:val="EE0000"/>
          <w:sz w:val="32"/>
          <w:szCs w:val="32"/>
        </w:rPr>
        <w:t>(案號:114006)</w:t>
      </w:r>
      <w:r>
        <w:rPr>
          <w:rFonts w:hint="eastAsia" w:ascii="標楷體" w:hAnsi="標楷體" w:eastAsia="標楷體"/>
          <w:bCs/>
          <w:color w:val="000000" w:themeColor="text1"/>
          <w:sz w:val="32"/>
          <w:szCs w:val="32"/>
          <w14:textFill>
            <w14:solidFill>
              <w14:schemeClr w14:val="tx1"/>
            </w14:solidFill>
          </w14:textFill>
        </w:rPr>
        <w:t>」</w:t>
      </w:r>
    </w:p>
    <w:p w14:paraId="03C2B113">
      <w:pPr>
        <w:spacing w:line="420" w:lineRule="exact"/>
        <w:rPr>
          <w:szCs w:val="28"/>
        </w:rPr>
      </w:pPr>
      <w:r>
        <w:rPr>
          <w:rFonts w:hint="eastAsia" w:ascii="標楷體" w:hAnsi="標楷體" w:eastAsia="標楷體"/>
          <w:bCs/>
          <w:color w:val="000000" w:themeColor="text1"/>
          <w:szCs w:val="24"/>
          <w14:textFill>
            <w14:solidFill>
              <w14:schemeClr w14:val="tx1"/>
            </w14:solidFill>
          </w14:textFill>
        </w:rPr>
        <w:t xml:space="preserve">評審委員編號：                        </w:t>
      </w:r>
      <w:r>
        <w:rPr>
          <w:rFonts w:hint="eastAsia" w:ascii="標楷體" w:hAnsi="標楷體" w:eastAsia="標楷體"/>
          <w:bCs/>
          <w:color w:val="000000" w:themeColor="text1"/>
          <w:sz w:val="28"/>
          <w:szCs w:val="28"/>
          <w14:textFill>
            <w14:solidFill>
              <w14:schemeClr w14:val="tx1"/>
            </w14:solidFill>
          </w14:textFill>
        </w:rPr>
        <w:t xml:space="preserve">                          年  月  日</w:t>
      </w:r>
      <w:r>
        <w:rPr>
          <w:rFonts w:hint="eastAsia" w:ascii="標楷體" w:hAnsi="標楷體" w:eastAsia="標楷體"/>
          <w:color w:val="000000" w:themeColor="text1"/>
          <w:sz w:val="28"/>
          <w:szCs w:val="28"/>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5F0FE358">
      <w:pPr>
        <w:spacing w:line="420" w:lineRule="exact"/>
        <w:ind w:left="427" w:leftChars="-117" w:hanging="708" w:hangingChars="295"/>
        <w:rPr>
          <w:rFonts w:ascii="標楷體" w:hAnsi="標楷體" w:eastAsia="標楷體"/>
          <w:szCs w:val="28"/>
        </w:rPr>
      </w:pPr>
      <w:bookmarkStart w:id="23" w:name="_Hlk124327609"/>
    </w:p>
    <w:p w14:paraId="7F917EB5">
      <w:pPr>
        <w:spacing w:line="420" w:lineRule="exact"/>
        <w:ind w:left="427" w:leftChars="-117" w:hanging="708" w:hangingChars="295"/>
        <w:rPr>
          <w:rFonts w:ascii="標楷體" w:hAnsi="標楷體" w:eastAsia="標楷體"/>
          <w:szCs w:val="28"/>
        </w:rPr>
      </w:pPr>
    </w:p>
    <w:p w14:paraId="0BB6DA7F">
      <w:pPr>
        <w:spacing w:line="420" w:lineRule="exact"/>
        <w:ind w:left="427" w:leftChars="-117" w:hanging="708" w:hangingChars="295"/>
        <w:rPr>
          <w:rFonts w:ascii="標楷體" w:hAnsi="標楷體" w:eastAsia="標楷體"/>
          <w:szCs w:val="28"/>
        </w:rPr>
      </w:pPr>
    </w:p>
    <w:p w14:paraId="00E8ED9E">
      <w:pPr>
        <w:spacing w:line="420" w:lineRule="exact"/>
        <w:ind w:left="427" w:leftChars="-117" w:hanging="708" w:hangingChars="295"/>
        <w:rPr>
          <w:rFonts w:ascii="標楷體" w:hAnsi="標楷體" w:eastAsia="標楷體"/>
          <w:szCs w:val="28"/>
        </w:rPr>
      </w:pPr>
    </w:p>
    <w:p w14:paraId="02F071B6">
      <w:pPr>
        <w:spacing w:line="420" w:lineRule="exact"/>
        <w:ind w:left="427" w:leftChars="-117" w:hanging="708" w:hangingChars="295"/>
        <w:rPr>
          <w:rFonts w:ascii="標楷體" w:hAnsi="標楷體" w:eastAsia="標楷體"/>
          <w:szCs w:val="28"/>
        </w:rPr>
      </w:pPr>
    </w:p>
    <w:p w14:paraId="5D470625">
      <w:pPr>
        <w:spacing w:line="420" w:lineRule="exact"/>
        <w:ind w:left="427" w:leftChars="-117" w:hanging="708" w:hangingChars="295"/>
        <w:rPr>
          <w:rFonts w:ascii="標楷體" w:hAnsi="標楷體" w:eastAsia="標楷體"/>
          <w:szCs w:val="28"/>
        </w:rPr>
      </w:pPr>
    </w:p>
    <w:p w14:paraId="08C3932B">
      <w:pPr>
        <w:spacing w:line="420" w:lineRule="exact"/>
        <w:ind w:left="427" w:leftChars="-117" w:hanging="708" w:hangingChars="295"/>
        <w:rPr>
          <w:rFonts w:ascii="標楷體" w:hAnsi="標楷體" w:eastAsia="標楷體"/>
          <w:szCs w:val="28"/>
        </w:rPr>
      </w:pPr>
    </w:p>
    <w:p w14:paraId="51F19C0E">
      <w:pPr>
        <w:spacing w:line="420" w:lineRule="exact"/>
        <w:ind w:left="427" w:leftChars="-117" w:hanging="708" w:hangingChars="295"/>
        <w:rPr>
          <w:rFonts w:ascii="標楷體" w:hAnsi="標楷體" w:eastAsia="標楷體"/>
          <w:szCs w:val="28"/>
        </w:rPr>
      </w:pPr>
    </w:p>
    <w:p w14:paraId="3CFCB135">
      <w:pPr>
        <w:spacing w:line="420" w:lineRule="exact"/>
        <w:ind w:left="427" w:leftChars="-117" w:hanging="708" w:hangingChars="295"/>
        <w:rPr>
          <w:rFonts w:ascii="標楷體" w:hAnsi="標楷體" w:eastAsia="標楷體"/>
          <w:szCs w:val="28"/>
        </w:rPr>
      </w:pPr>
    </w:p>
    <w:p w14:paraId="45271C37">
      <w:pPr>
        <w:spacing w:line="420" w:lineRule="exact"/>
        <w:ind w:left="427" w:leftChars="-117" w:hanging="708" w:hangingChars="295"/>
        <w:rPr>
          <w:rFonts w:ascii="標楷體" w:hAnsi="標楷體" w:eastAsia="標楷體"/>
          <w:szCs w:val="28"/>
        </w:rPr>
      </w:pPr>
    </w:p>
    <w:p w14:paraId="08723B48">
      <w:pPr>
        <w:spacing w:line="420" w:lineRule="exact"/>
        <w:ind w:left="427" w:leftChars="-117" w:hanging="708" w:hangingChars="295"/>
        <w:rPr>
          <w:rFonts w:ascii="標楷體" w:hAnsi="標楷體" w:eastAsia="標楷體"/>
          <w:szCs w:val="28"/>
        </w:rPr>
      </w:pPr>
    </w:p>
    <w:p w14:paraId="2158EFB5">
      <w:pPr>
        <w:spacing w:line="420" w:lineRule="exact"/>
        <w:ind w:left="427" w:leftChars="-117" w:hanging="708" w:hangingChars="295"/>
        <w:rPr>
          <w:rFonts w:ascii="標楷體" w:hAnsi="標楷體" w:eastAsia="標楷體"/>
          <w:szCs w:val="28"/>
        </w:rPr>
      </w:pPr>
    </w:p>
    <w:p w14:paraId="6BF0AF38">
      <w:pPr>
        <w:spacing w:line="420" w:lineRule="exact"/>
        <w:ind w:left="427" w:leftChars="-117" w:hanging="708" w:hangingChars="295"/>
        <w:rPr>
          <w:rFonts w:ascii="標楷體" w:hAnsi="標楷體" w:eastAsia="標楷體"/>
          <w:szCs w:val="28"/>
        </w:rPr>
      </w:pPr>
    </w:p>
    <w:tbl>
      <w:tblPr>
        <w:tblStyle w:val="3"/>
        <w:tblpPr w:leftFromText="180" w:rightFromText="180" w:vertAnchor="text" w:horzAnchor="page" w:tblpX="7048" w:tblpY="2014"/>
        <w:tblW w:w="3696"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28" w:type="dxa"/>
          <w:bottom w:w="0" w:type="dxa"/>
          <w:right w:w="28" w:type="dxa"/>
        </w:tblCellMar>
      </w:tblPr>
      <w:tblGrid>
        <w:gridCol w:w="3696"/>
      </w:tblGrid>
      <w:tr w14:paraId="2DE02F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28" w:type="dxa"/>
            <w:bottom w:w="0" w:type="dxa"/>
            <w:right w:w="28" w:type="dxa"/>
          </w:tblCellMar>
        </w:tblPrEx>
        <w:trPr>
          <w:trHeight w:val="3051" w:hRule="atLeast"/>
        </w:trPr>
        <w:tc>
          <w:tcPr>
            <w:tcW w:w="3696" w:type="dxa"/>
            <w:tcBorders>
              <w:tr2bl w:val="single" w:color="auto" w:sz="4" w:space="0"/>
            </w:tcBorders>
          </w:tcPr>
          <w:p w14:paraId="0B7EE797">
            <w:pPr>
              <w:widowControl/>
              <w:snapToGrid w:val="0"/>
              <w:spacing w:line="240" w:lineRule="atLeast"/>
              <w:rPr>
                <w:rFonts w:ascii="標楷體" w:hAnsi="標楷體" w:eastAsia="標楷體"/>
                <w:szCs w:val="24"/>
              </w:rPr>
            </w:pPr>
            <w:r>
              <w:rPr>
                <w:rFonts w:hint="eastAsia" w:ascii="標楷體" w:hAnsi="標楷體" w:eastAsia="標楷體"/>
                <w:szCs w:val="24"/>
              </w:rPr>
              <w:t>委員簽名：</w:t>
            </w:r>
          </w:p>
          <w:p w14:paraId="1E87433B">
            <w:pPr>
              <w:widowControl/>
              <w:snapToGrid w:val="0"/>
              <w:spacing w:line="240" w:lineRule="atLeast"/>
              <w:rPr>
                <w:rFonts w:ascii="標楷體" w:hAnsi="標楷體" w:eastAsia="標楷體"/>
                <w:szCs w:val="24"/>
              </w:rPr>
            </w:pPr>
          </w:p>
          <w:p w14:paraId="462AEAD3">
            <w:pPr>
              <w:widowControl/>
              <w:snapToGrid w:val="0"/>
              <w:spacing w:line="240" w:lineRule="atLeast"/>
              <w:ind w:firstLine="1920" w:firstLineChars="800"/>
              <w:rPr>
                <w:rFonts w:ascii="標楷體" w:hAnsi="標楷體" w:eastAsia="標楷體"/>
                <w:szCs w:val="24"/>
              </w:rPr>
            </w:pPr>
          </w:p>
          <w:p w14:paraId="777F89EC">
            <w:pPr>
              <w:widowControl/>
              <w:snapToGrid w:val="0"/>
              <w:spacing w:line="240" w:lineRule="atLeast"/>
              <w:ind w:firstLine="1920" w:firstLineChars="800"/>
              <w:rPr>
                <w:rFonts w:ascii="標楷體" w:hAnsi="標楷體" w:eastAsia="標楷體"/>
                <w:szCs w:val="24"/>
              </w:rPr>
            </w:pPr>
          </w:p>
          <w:p w14:paraId="72DB2ACD">
            <w:pPr>
              <w:widowControl/>
              <w:snapToGrid w:val="0"/>
              <w:spacing w:line="240" w:lineRule="atLeast"/>
              <w:ind w:firstLine="1920" w:firstLineChars="800"/>
              <w:rPr>
                <w:rFonts w:ascii="標楷體" w:hAnsi="標楷體" w:eastAsia="標楷體"/>
                <w:szCs w:val="24"/>
              </w:rPr>
            </w:pPr>
            <w:r>
              <w:rPr>
                <w:rFonts w:hint="eastAsia" w:ascii="標楷體" w:hAnsi="標楷體" w:eastAsia="標楷體"/>
                <w:szCs w:val="24"/>
              </w:rPr>
              <w:t>摺</w:t>
            </w:r>
          </w:p>
          <w:p w14:paraId="5D05F547">
            <w:pPr>
              <w:widowControl/>
              <w:snapToGrid w:val="0"/>
              <w:spacing w:line="240" w:lineRule="atLeast"/>
              <w:ind w:firstLine="1680" w:firstLineChars="700"/>
              <w:rPr>
                <w:rFonts w:ascii="標楷體" w:hAnsi="標楷體" w:eastAsia="標楷體"/>
                <w:szCs w:val="24"/>
              </w:rPr>
            </w:pPr>
            <w:r>
              <w:rPr>
                <w:rFonts w:hint="eastAsia" w:ascii="標楷體" w:hAnsi="標楷體" w:eastAsia="標楷體"/>
                <w:szCs w:val="24"/>
              </w:rPr>
              <w:t>封</w:t>
            </w:r>
          </w:p>
          <w:p w14:paraId="489F99E8">
            <w:pPr>
              <w:widowControl/>
              <w:snapToGrid w:val="0"/>
              <w:spacing w:line="240" w:lineRule="atLeast"/>
              <w:ind w:firstLine="1440" w:firstLineChars="600"/>
              <w:rPr>
                <w:szCs w:val="24"/>
              </w:rPr>
            </w:pPr>
            <w:r>
              <w:rPr>
                <w:rFonts w:hint="eastAsia" w:ascii="標楷體" w:hAnsi="標楷體" w:eastAsia="標楷體"/>
                <w:szCs w:val="24"/>
              </w:rPr>
              <w:t>處</w:t>
            </w:r>
          </w:p>
        </w:tc>
      </w:tr>
    </w:tbl>
    <w:p w14:paraId="0C892446">
      <w:pPr>
        <w:spacing w:line="420" w:lineRule="exact"/>
        <w:ind w:left="427" w:leftChars="-117" w:hanging="708" w:hangingChars="295"/>
        <w:rPr>
          <w:rFonts w:ascii="標楷體" w:hAnsi="標楷體" w:eastAsia="標楷體"/>
          <w:szCs w:val="28"/>
        </w:rPr>
      </w:pPr>
    </w:p>
    <w:p w14:paraId="04414E93">
      <w:pPr>
        <w:spacing w:line="420" w:lineRule="exact"/>
        <w:ind w:left="427" w:leftChars="-117" w:hanging="708" w:hangingChars="295"/>
        <w:rPr>
          <w:rFonts w:ascii="標楷體" w:hAnsi="標楷體" w:eastAsia="標楷體"/>
          <w:szCs w:val="28"/>
        </w:rPr>
      </w:pPr>
    </w:p>
    <w:p w14:paraId="58701945">
      <w:pPr>
        <w:spacing w:line="420" w:lineRule="exact"/>
        <w:ind w:left="427" w:leftChars="-117" w:hanging="708" w:hangingChars="295"/>
        <w:rPr>
          <w:rFonts w:ascii="標楷體" w:hAnsi="標楷體" w:eastAsia="標楷體"/>
          <w:szCs w:val="28"/>
        </w:rPr>
      </w:pPr>
    </w:p>
    <w:p w14:paraId="5F864AED">
      <w:pPr>
        <w:spacing w:line="420" w:lineRule="exact"/>
        <w:ind w:left="427" w:leftChars="-117" w:hanging="708" w:hangingChars="295"/>
        <w:rPr>
          <w:rFonts w:ascii="標楷體" w:hAnsi="標楷體" w:eastAsia="標楷體"/>
          <w:szCs w:val="28"/>
        </w:rPr>
      </w:pPr>
    </w:p>
    <w:p w14:paraId="3DF53E4A">
      <w:pPr>
        <w:spacing w:line="420" w:lineRule="exact"/>
        <w:ind w:left="427" w:leftChars="-117" w:hanging="708" w:hangingChars="295"/>
        <w:rPr>
          <w:rFonts w:ascii="標楷體" w:hAnsi="標楷體" w:eastAsia="標楷體"/>
          <w:szCs w:val="28"/>
        </w:rPr>
      </w:pPr>
    </w:p>
    <w:p w14:paraId="04636EB5">
      <w:pPr>
        <w:spacing w:line="420" w:lineRule="exact"/>
        <w:ind w:left="427" w:leftChars="-117" w:hanging="708" w:hangingChars="295"/>
        <w:rPr>
          <w:rFonts w:ascii="標楷體" w:hAnsi="標楷體" w:eastAsia="標楷體"/>
          <w:szCs w:val="28"/>
        </w:rPr>
      </w:pPr>
    </w:p>
    <w:p w14:paraId="759AD6B7">
      <w:pPr>
        <w:spacing w:line="420" w:lineRule="exact"/>
        <w:ind w:left="427" w:leftChars="-117" w:hanging="708" w:hangingChars="295"/>
        <w:rPr>
          <w:rFonts w:ascii="標楷體" w:hAnsi="標楷體" w:eastAsia="標楷體"/>
          <w:szCs w:val="28"/>
        </w:rPr>
      </w:pPr>
    </w:p>
    <w:p w14:paraId="502C16D3">
      <w:pPr>
        <w:spacing w:line="420" w:lineRule="exact"/>
        <w:ind w:left="427" w:leftChars="-117" w:hanging="708" w:hangingChars="295"/>
        <w:rPr>
          <w:rFonts w:ascii="標楷體" w:hAnsi="標楷體" w:eastAsia="標楷體"/>
          <w:szCs w:val="28"/>
        </w:rPr>
      </w:pPr>
    </w:p>
    <w:p w14:paraId="46748FAB">
      <w:pPr>
        <w:spacing w:line="420" w:lineRule="exact"/>
        <w:ind w:left="427" w:leftChars="-117" w:hanging="708" w:hangingChars="295"/>
        <w:rPr>
          <w:rFonts w:ascii="標楷體" w:hAnsi="標楷體" w:eastAsia="標楷體"/>
          <w:szCs w:val="28"/>
        </w:rPr>
      </w:pPr>
    </w:p>
    <w:bookmarkEnd w:id="23"/>
    <w:p w14:paraId="3D2D9711">
      <w:pPr>
        <w:spacing w:line="420" w:lineRule="exact"/>
        <w:rPr>
          <w:rFonts w:ascii="標楷體" w:hAnsi="標楷體" w:eastAsia="標楷體"/>
          <w:bCs/>
          <w:sz w:val="32"/>
          <w:szCs w:val="32"/>
        </w:rPr>
      </w:pPr>
      <w:bookmarkStart w:id="24" w:name="_Hlk163663483"/>
      <w:bookmarkStart w:id="25" w:name="_Hlk124327634"/>
      <w:r>
        <w:rPr>
          <w:rFonts w:hint="eastAsia" w:ascii="標楷體" w:hAnsi="標楷體" w:eastAsia="標楷體"/>
          <w:bCs/>
          <w:sz w:val="32"/>
          <w:szCs w:val="32"/>
        </w:rPr>
        <w:t>中華民國橄欖球協會「2025年亞洲聯盟盃橄欖球錦標賽-轉播採購案</w:t>
      </w:r>
      <w:r>
        <w:rPr>
          <w:rFonts w:hint="eastAsia" w:ascii="標楷體" w:hAnsi="標楷體" w:eastAsia="標楷體"/>
          <w:bCs/>
          <w:color w:val="EE0000"/>
          <w:sz w:val="32"/>
          <w:szCs w:val="32"/>
        </w:rPr>
        <w:t>(案號:114006)</w:t>
      </w:r>
      <w:r>
        <w:rPr>
          <w:rFonts w:hint="eastAsia" w:ascii="標楷體" w:hAnsi="標楷體" w:eastAsia="標楷體"/>
          <w:bCs/>
          <w:sz w:val="32"/>
          <w:szCs w:val="32"/>
        </w:rPr>
        <w:t>」</w:t>
      </w:r>
      <w:bookmarkEnd w:id="24"/>
      <w:r>
        <w:rPr>
          <w:rFonts w:ascii="標楷體" w:hAnsi="標楷體" w:eastAsia="標楷體"/>
          <w:bCs/>
          <w:sz w:val="32"/>
          <w:szCs w:val="32"/>
        </w:rPr>
        <w:t>評</w:t>
      </w:r>
      <w:r>
        <w:rPr>
          <w:rFonts w:hint="eastAsia" w:ascii="標楷體" w:hAnsi="標楷體" w:eastAsia="標楷體"/>
          <w:bCs/>
          <w:sz w:val="32"/>
          <w:szCs w:val="32"/>
        </w:rPr>
        <w:t>審</w:t>
      </w:r>
      <w:r>
        <w:rPr>
          <w:rFonts w:ascii="標楷體" w:hAnsi="標楷體" w:eastAsia="標楷體"/>
          <w:bCs/>
          <w:sz w:val="32"/>
          <w:szCs w:val="32"/>
        </w:rPr>
        <w:t>委員評分</w:t>
      </w:r>
      <w:bookmarkEnd w:id="25"/>
      <w:bookmarkStart w:id="26" w:name="_Hlk124328703"/>
      <w:r>
        <w:rPr>
          <w:rFonts w:hint="eastAsia" w:ascii="標楷體" w:hAnsi="標楷體" w:eastAsia="標楷體"/>
          <w:bCs/>
          <w:sz w:val="32"/>
          <w:szCs w:val="32"/>
        </w:rPr>
        <w:t>總表</w:t>
      </w:r>
    </w:p>
    <w:tbl>
      <w:tblPr>
        <w:tblStyle w:val="3"/>
        <w:tblpPr w:leftFromText="180" w:rightFromText="180" w:vertAnchor="text" w:horzAnchor="margin" w:tblpY="248"/>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619"/>
        <w:gridCol w:w="1483"/>
        <w:gridCol w:w="165"/>
        <w:gridCol w:w="1252"/>
        <w:gridCol w:w="503"/>
        <w:gridCol w:w="1056"/>
        <w:gridCol w:w="699"/>
        <w:gridCol w:w="860"/>
        <w:gridCol w:w="1015"/>
        <w:gridCol w:w="545"/>
        <w:gridCol w:w="1275"/>
      </w:tblGrid>
      <w:tr w14:paraId="7C3D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1348" w:type="dxa"/>
            <w:gridSpan w:val="2"/>
            <w:vMerge w:val="restart"/>
            <w:vAlign w:val="center"/>
          </w:tcPr>
          <w:p w14:paraId="19094032">
            <w:pPr>
              <w:spacing w:line="500" w:lineRule="exact"/>
              <w:jc w:val="center"/>
              <w:rPr>
                <w:rFonts w:eastAsia="標楷體"/>
                <w:b/>
                <w:bCs/>
                <w:szCs w:val="24"/>
              </w:rPr>
            </w:pPr>
            <w:r>
              <w:rPr>
                <w:rFonts w:hint="eastAsia" w:eastAsia="標楷體"/>
                <w:b/>
                <w:bCs/>
                <w:szCs w:val="24"/>
              </w:rPr>
              <w:t>評審委員代號</w:t>
            </w:r>
          </w:p>
        </w:tc>
        <w:tc>
          <w:tcPr>
            <w:tcW w:w="2900" w:type="dxa"/>
            <w:gridSpan w:val="3"/>
            <w:vAlign w:val="center"/>
          </w:tcPr>
          <w:p w14:paraId="12F07504">
            <w:pPr>
              <w:spacing w:line="500" w:lineRule="exact"/>
              <w:jc w:val="center"/>
              <w:rPr>
                <w:rFonts w:eastAsia="標楷體"/>
              </w:rPr>
            </w:pPr>
            <w:r>
              <w:rPr>
                <w:rFonts w:hint="eastAsia" w:eastAsia="標楷體"/>
              </w:rPr>
              <w:t>廠商1</w:t>
            </w:r>
          </w:p>
        </w:tc>
        <w:tc>
          <w:tcPr>
            <w:tcW w:w="3118" w:type="dxa"/>
            <w:gridSpan w:val="4"/>
            <w:vAlign w:val="center"/>
          </w:tcPr>
          <w:p w14:paraId="2DC5CC6F">
            <w:pPr>
              <w:spacing w:line="500" w:lineRule="exact"/>
              <w:jc w:val="center"/>
              <w:rPr>
                <w:rFonts w:eastAsia="標楷體"/>
              </w:rPr>
            </w:pPr>
            <w:r>
              <w:rPr>
                <w:rFonts w:hint="eastAsia" w:eastAsia="標楷體"/>
              </w:rPr>
              <w:t>廠商2</w:t>
            </w:r>
          </w:p>
        </w:tc>
        <w:tc>
          <w:tcPr>
            <w:tcW w:w="2835" w:type="dxa"/>
            <w:gridSpan w:val="3"/>
            <w:vAlign w:val="center"/>
          </w:tcPr>
          <w:p w14:paraId="184077B9">
            <w:pPr>
              <w:spacing w:line="500" w:lineRule="exact"/>
              <w:jc w:val="center"/>
              <w:rPr>
                <w:rFonts w:eastAsia="標楷體"/>
              </w:rPr>
            </w:pPr>
            <w:r>
              <w:rPr>
                <w:rFonts w:hint="eastAsia" w:eastAsia="標楷體"/>
              </w:rPr>
              <w:t>廠商3</w:t>
            </w:r>
          </w:p>
        </w:tc>
      </w:tr>
      <w:tr w14:paraId="5D7D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1" w:hRule="atLeast"/>
        </w:trPr>
        <w:tc>
          <w:tcPr>
            <w:tcW w:w="1348" w:type="dxa"/>
            <w:gridSpan w:val="2"/>
            <w:vMerge w:val="continue"/>
            <w:vAlign w:val="center"/>
          </w:tcPr>
          <w:p w14:paraId="651FED31">
            <w:pPr>
              <w:spacing w:line="500" w:lineRule="exact"/>
              <w:rPr>
                <w:rFonts w:eastAsia="標楷體"/>
                <w:b/>
                <w:bCs/>
              </w:rPr>
            </w:pPr>
          </w:p>
        </w:tc>
        <w:tc>
          <w:tcPr>
            <w:tcW w:w="2900" w:type="dxa"/>
            <w:gridSpan w:val="3"/>
            <w:vAlign w:val="center"/>
          </w:tcPr>
          <w:p w14:paraId="14DB5CA0">
            <w:pPr>
              <w:spacing w:line="500" w:lineRule="exact"/>
              <w:jc w:val="center"/>
              <w:rPr>
                <w:rFonts w:eastAsia="標楷體"/>
              </w:rPr>
            </w:pPr>
            <w:r>
              <w:rPr>
                <w:rFonts w:hint="eastAsia" w:eastAsia="標楷體"/>
              </w:rPr>
              <w:t>標價</w:t>
            </w:r>
          </w:p>
        </w:tc>
        <w:tc>
          <w:tcPr>
            <w:tcW w:w="3118" w:type="dxa"/>
            <w:gridSpan w:val="4"/>
            <w:vAlign w:val="center"/>
          </w:tcPr>
          <w:p w14:paraId="3E7D2836">
            <w:pPr>
              <w:spacing w:line="500" w:lineRule="exact"/>
              <w:jc w:val="center"/>
              <w:rPr>
                <w:rFonts w:eastAsia="標楷體"/>
              </w:rPr>
            </w:pPr>
            <w:r>
              <w:rPr>
                <w:rFonts w:hint="eastAsia" w:eastAsia="標楷體"/>
              </w:rPr>
              <w:t>標價</w:t>
            </w:r>
          </w:p>
        </w:tc>
        <w:tc>
          <w:tcPr>
            <w:tcW w:w="2835" w:type="dxa"/>
            <w:gridSpan w:val="3"/>
            <w:vAlign w:val="center"/>
          </w:tcPr>
          <w:p w14:paraId="627C8166">
            <w:pPr>
              <w:spacing w:line="500" w:lineRule="exact"/>
              <w:jc w:val="center"/>
              <w:rPr>
                <w:rFonts w:eastAsia="標楷體"/>
              </w:rPr>
            </w:pPr>
            <w:r>
              <w:rPr>
                <w:rFonts w:hint="eastAsia" w:eastAsia="標楷體"/>
              </w:rPr>
              <w:t>標價</w:t>
            </w:r>
          </w:p>
        </w:tc>
      </w:tr>
      <w:tr w14:paraId="0E02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trPr>
        <w:tc>
          <w:tcPr>
            <w:tcW w:w="1348" w:type="dxa"/>
            <w:gridSpan w:val="2"/>
            <w:vMerge w:val="continue"/>
            <w:vAlign w:val="center"/>
          </w:tcPr>
          <w:p w14:paraId="1FAE2326">
            <w:pPr>
              <w:snapToGrid w:val="0"/>
              <w:jc w:val="center"/>
              <w:rPr>
                <w:rFonts w:eastAsia="標楷體"/>
              </w:rPr>
            </w:pPr>
          </w:p>
        </w:tc>
        <w:tc>
          <w:tcPr>
            <w:tcW w:w="1483" w:type="dxa"/>
            <w:vAlign w:val="center"/>
          </w:tcPr>
          <w:p w14:paraId="76873860">
            <w:pPr>
              <w:jc w:val="center"/>
              <w:rPr>
                <w:rFonts w:eastAsia="標楷體"/>
              </w:rPr>
            </w:pPr>
            <w:r>
              <w:rPr>
                <w:rFonts w:hint="eastAsia" w:eastAsia="標楷體"/>
              </w:rPr>
              <w:t>得分</w:t>
            </w:r>
          </w:p>
          <w:p w14:paraId="3C8AB755">
            <w:pPr>
              <w:jc w:val="center"/>
              <w:rPr>
                <w:rFonts w:eastAsia="標楷體"/>
              </w:rPr>
            </w:pPr>
            <w:r>
              <w:rPr>
                <w:rFonts w:hint="eastAsia" w:eastAsia="標楷體"/>
              </w:rPr>
              <w:t>加總</w:t>
            </w:r>
          </w:p>
        </w:tc>
        <w:tc>
          <w:tcPr>
            <w:tcW w:w="1417" w:type="dxa"/>
            <w:gridSpan w:val="2"/>
            <w:vAlign w:val="center"/>
          </w:tcPr>
          <w:p w14:paraId="30A8067B">
            <w:pPr>
              <w:jc w:val="center"/>
              <w:rPr>
                <w:rFonts w:eastAsia="標楷體"/>
              </w:rPr>
            </w:pPr>
            <w:r>
              <w:rPr>
                <w:rFonts w:hint="eastAsia" w:eastAsia="標楷體"/>
              </w:rPr>
              <w:t>序位</w:t>
            </w:r>
          </w:p>
        </w:tc>
        <w:tc>
          <w:tcPr>
            <w:tcW w:w="1559" w:type="dxa"/>
            <w:gridSpan w:val="2"/>
            <w:vAlign w:val="center"/>
          </w:tcPr>
          <w:p w14:paraId="390D64EA">
            <w:pPr>
              <w:jc w:val="center"/>
              <w:rPr>
                <w:rFonts w:eastAsia="標楷體"/>
              </w:rPr>
            </w:pPr>
            <w:r>
              <w:rPr>
                <w:rFonts w:hint="eastAsia" w:eastAsia="標楷體"/>
              </w:rPr>
              <w:t>得分</w:t>
            </w:r>
          </w:p>
          <w:p w14:paraId="51E542BE">
            <w:pPr>
              <w:jc w:val="center"/>
              <w:rPr>
                <w:rFonts w:eastAsia="標楷體"/>
              </w:rPr>
            </w:pPr>
            <w:r>
              <w:rPr>
                <w:rFonts w:hint="eastAsia" w:eastAsia="標楷體"/>
              </w:rPr>
              <w:t>加總</w:t>
            </w:r>
          </w:p>
        </w:tc>
        <w:tc>
          <w:tcPr>
            <w:tcW w:w="1559" w:type="dxa"/>
            <w:gridSpan w:val="2"/>
            <w:vAlign w:val="center"/>
          </w:tcPr>
          <w:p w14:paraId="633E55C7">
            <w:pPr>
              <w:jc w:val="center"/>
              <w:rPr>
                <w:rFonts w:eastAsia="標楷體"/>
              </w:rPr>
            </w:pPr>
            <w:r>
              <w:rPr>
                <w:rFonts w:hint="eastAsia" w:eastAsia="標楷體"/>
              </w:rPr>
              <w:t>序位</w:t>
            </w:r>
          </w:p>
        </w:tc>
        <w:tc>
          <w:tcPr>
            <w:tcW w:w="1560" w:type="dxa"/>
            <w:gridSpan w:val="2"/>
            <w:vAlign w:val="center"/>
          </w:tcPr>
          <w:p w14:paraId="696D9C91">
            <w:pPr>
              <w:jc w:val="center"/>
              <w:rPr>
                <w:rFonts w:eastAsia="標楷體"/>
              </w:rPr>
            </w:pPr>
            <w:r>
              <w:rPr>
                <w:rFonts w:hint="eastAsia" w:eastAsia="標楷體"/>
              </w:rPr>
              <w:t>得分</w:t>
            </w:r>
          </w:p>
          <w:p w14:paraId="2D1C4862">
            <w:pPr>
              <w:jc w:val="center"/>
              <w:rPr>
                <w:rFonts w:eastAsia="標楷體"/>
              </w:rPr>
            </w:pPr>
            <w:r>
              <w:rPr>
                <w:rFonts w:hint="eastAsia" w:eastAsia="標楷體"/>
              </w:rPr>
              <w:t>加總</w:t>
            </w:r>
          </w:p>
        </w:tc>
        <w:tc>
          <w:tcPr>
            <w:tcW w:w="1275" w:type="dxa"/>
            <w:vAlign w:val="center"/>
          </w:tcPr>
          <w:p w14:paraId="3111AC0C">
            <w:pPr>
              <w:jc w:val="center"/>
              <w:rPr>
                <w:rFonts w:eastAsia="標楷體"/>
              </w:rPr>
            </w:pPr>
            <w:r>
              <w:rPr>
                <w:rFonts w:hint="eastAsia" w:eastAsia="標楷體"/>
              </w:rPr>
              <w:t>序位</w:t>
            </w:r>
          </w:p>
        </w:tc>
      </w:tr>
      <w:tr w14:paraId="665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348" w:type="dxa"/>
            <w:gridSpan w:val="2"/>
            <w:vAlign w:val="center"/>
          </w:tcPr>
          <w:p w14:paraId="013A8379">
            <w:pPr>
              <w:snapToGrid w:val="0"/>
              <w:jc w:val="center"/>
              <w:rPr>
                <w:rFonts w:eastAsia="標楷體"/>
              </w:rPr>
            </w:pPr>
            <w:r>
              <w:rPr>
                <w:rFonts w:hint="eastAsia" w:eastAsia="標楷體"/>
              </w:rPr>
              <w:t>1</w:t>
            </w:r>
          </w:p>
        </w:tc>
        <w:tc>
          <w:tcPr>
            <w:tcW w:w="1483" w:type="dxa"/>
            <w:vAlign w:val="center"/>
          </w:tcPr>
          <w:p w14:paraId="3CD26C35">
            <w:pPr>
              <w:jc w:val="center"/>
              <w:rPr>
                <w:rFonts w:eastAsia="標楷體"/>
              </w:rPr>
            </w:pPr>
          </w:p>
        </w:tc>
        <w:tc>
          <w:tcPr>
            <w:tcW w:w="1417" w:type="dxa"/>
            <w:gridSpan w:val="2"/>
            <w:vAlign w:val="center"/>
          </w:tcPr>
          <w:p w14:paraId="6F8E1062">
            <w:pPr>
              <w:jc w:val="center"/>
              <w:rPr>
                <w:rFonts w:eastAsia="標楷體"/>
              </w:rPr>
            </w:pPr>
          </w:p>
        </w:tc>
        <w:tc>
          <w:tcPr>
            <w:tcW w:w="1559" w:type="dxa"/>
            <w:gridSpan w:val="2"/>
            <w:vAlign w:val="center"/>
          </w:tcPr>
          <w:p w14:paraId="381770D2">
            <w:pPr>
              <w:jc w:val="center"/>
              <w:rPr>
                <w:rFonts w:eastAsia="標楷體"/>
              </w:rPr>
            </w:pPr>
          </w:p>
        </w:tc>
        <w:tc>
          <w:tcPr>
            <w:tcW w:w="1559" w:type="dxa"/>
            <w:gridSpan w:val="2"/>
            <w:vAlign w:val="center"/>
          </w:tcPr>
          <w:p w14:paraId="764FED72">
            <w:pPr>
              <w:jc w:val="center"/>
              <w:rPr>
                <w:rFonts w:eastAsia="標楷體"/>
              </w:rPr>
            </w:pPr>
          </w:p>
        </w:tc>
        <w:tc>
          <w:tcPr>
            <w:tcW w:w="1560" w:type="dxa"/>
            <w:gridSpan w:val="2"/>
            <w:vAlign w:val="center"/>
          </w:tcPr>
          <w:p w14:paraId="7355215A">
            <w:pPr>
              <w:jc w:val="center"/>
              <w:rPr>
                <w:rFonts w:eastAsia="標楷體"/>
              </w:rPr>
            </w:pPr>
          </w:p>
        </w:tc>
        <w:tc>
          <w:tcPr>
            <w:tcW w:w="1275" w:type="dxa"/>
            <w:vAlign w:val="center"/>
          </w:tcPr>
          <w:p w14:paraId="23ED6C1D">
            <w:pPr>
              <w:jc w:val="center"/>
              <w:rPr>
                <w:rFonts w:eastAsia="標楷體"/>
              </w:rPr>
            </w:pPr>
          </w:p>
        </w:tc>
      </w:tr>
      <w:tr w14:paraId="534C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348" w:type="dxa"/>
            <w:gridSpan w:val="2"/>
            <w:vAlign w:val="center"/>
          </w:tcPr>
          <w:p w14:paraId="0C48D474">
            <w:pPr>
              <w:snapToGrid w:val="0"/>
              <w:jc w:val="center"/>
              <w:rPr>
                <w:rFonts w:eastAsia="標楷體"/>
              </w:rPr>
            </w:pPr>
            <w:r>
              <w:rPr>
                <w:rFonts w:hint="eastAsia" w:eastAsia="標楷體"/>
              </w:rPr>
              <w:t>2</w:t>
            </w:r>
          </w:p>
        </w:tc>
        <w:tc>
          <w:tcPr>
            <w:tcW w:w="1483" w:type="dxa"/>
            <w:vAlign w:val="center"/>
          </w:tcPr>
          <w:p w14:paraId="610B11AC">
            <w:pPr>
              <w:jc w:val="center"/>
              <w:rPr>
                <w:rFonts w:eastAsia="標楷體"/>
              </w:rPr>
            </w:pPr>
          </w:p>
        </w:tc>
        <w:tc>
          <w:tcPr>
            <w:tcW w:w="1417" w:type="dxa"/>
            <w:gridSpan w:val="2"/>
            <w:vAlign w:val="center"/>
          </w:tcPr>
          <w:p w14:paraId="00B1E1C8">
            <w:pPr>
              <w:jc w:val="center"/>
              <w:rPr>
                <w:rFonts w:eastAsia="標楷體"/>
              </w:rPr>
            </w:pPr>
          </w:p>
        </w:tc>
        <w:tc>
          <w:tcPr>
            <w:tcW w:w="1559" w:type="dxa"/>
            <w:gridSpan w:val="2"/>
            <w:vAlign w:val="center"/>
          </w:tcPr>
          <w:p w14:paraId="432F7785">
            <w:pPr>
              <w:jc w:val="center"/>
              <w:rPr>
                <w:rFonts w:eastAsia="標楷體"/>
              </w:rPr>
            </w:pPr>
          </w:p>
        </w:tc>
        <w:tc>
          <w:tcPr>
            <w:tcW w:w="1559" w:type="dxa"/>
            <w:gridSpan w:val="2"/>
            <w:vAlign w:val="center"/>
          </w:tcPr>
          <w:p w14:paraId="0F08F633">
            <w:pPr>
              <w:jc w:val="center"/>
              <w:rPr>
                <w:rFonts w:eastAsia="標楷體"/>
              </w:rPr>
            </w:pPr>
          </w:p>
        </w:tc>
        <w:tc>
          <w:tcPr>
            <w:tcW w:w="1560" w:type="dxa"/>
            <w:gridSpan w:val="2"/>
            <w:vAlign w:val="center"/>
          </w:tcPr>
          <w:p w14:paraId="65D9A90A">
            <w:pPr>
              <w:jc w:val="center"/>
              <w:rPr>
                <w:rFonts w:eastAsia="標楷體"/>
              </w:rPr>
            </w:pPr>
          </w:p>
        </w:tc>
        <w:tc>
          <w:tcPr>
            <w:tcW w:w="1275" w:type="dxa"/>
            <w:vAlign w:val="center"/>
          </w:tcPr>
          <w:p w14:paraId="6A36CC68">
            <w:pPr>
              <w:jc w:val="center"/>
              <w:rPr>
                <w:rFonts w:eastAsia="標楷體"/>
              </w:rPr>
            </w:pPr>
          </w:p>
        </w:tc>
      </w:tr>
      <w:tr w14:paraId="1496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348" w:type="dxa"/>
            <w:gridSpan w:val="2"/>
            <w:vAlign w:val="center"/>
          </w:tcPr>
          <w:p w14:paraId="3DDF5E8B">
            <w:pPr>
              <w:snapToGrid w:val="0"/>
              <w:jc w:val="center"/>
              <w:rPr>
                <w:rFonts w:eastAsia="標楷體"/>
              </w:rPr>
            </w:pPr>
            <w:r>
              <w:rPr>
                <w:rFonts w:hint="eastAsia" w:eastAsia="標楷體"/>
              </w:rPr>
              <w:t>3</w:t>
            </w:r>
          </w:p>
        </w:tc>
        <w:tc>
          <w:tcPr>
            <w:tcW w:w="1483" w:type="dxa"/>
            <w:vAlign w:val="center"/>
          </w:tcPr>
          <w:p w14:paraId="3D3AC1AE">
            <w:pPr>
              <w:jc w:val="center"/>
              <w:rPr>
                <w:rFonts w:eastAsia="標楷體"/>
              </w:rPr>
            </w:pPr>
          </w:p>
        </w:tc>
        <w:tc>
          <w:tcPr>
            <w:tcW w:w="1417" w:type="dxa"/>
            <w:gridSpan w:val="2"/>
            <w:vAlign w:val="center"/>
          </w:tcPr>
          <w:p w14:paraId="1224F91F">
            <w:pPr>
              <w:jc w:val="center"/>
              <w:rPr>
                <w:rFonts w:eastAsia="標楷體"/>
              </w:rPr>
            </w:pPr>
          </w:p>
        </w:tc>
        <w:tc>
          <w:tcPr>
            <w:tcW w:w="1559" w:type="dxa"/>
            <w:gridSpan w:val="2"/>
            <w:vAlign w:val="center"/>
          </w:tcPr>
          <w:p w14:paraId="2F75C3A0">
            <w:pPr>
              <w:jc w:val="center"/>
              <w:rPr>
                <w:rFonts w:eastAsia="標楷體"/>
              </w:rPr>
            </w:pPr>
          </w:p>
        </w:tc>
        <w:tc>
          <w:tcPr>
            <w:tcW w:w="1559" w:type="dxa"/>
            <w:gridSpan w:val="2"/>
            <w:vAlign w:val="center"/>
          </w:tcPr>
          <w:p w14:paraId="53DE8ECA">
            <w:pPr>
              <w:jc w:val="center"/>
              <w:rPr>
                <w:rFonts w:eastAsia="標楷體"/>
              </w:rPr>
            </w:pPr>
          </w:p>
        </w:tc>
        <w:tc>
          <w:tcPr>
            <w:tcW w:w="1560" w:type="dxa"/>
            <w:gridSpan w:val="2"/>
            <w:vAlign w:val="center"/>
          </w:tcPr>
          <w:p w14:paraId="1C18C808">
            <w:pPr>
              <w:jc w:val="center"/>
              <w:rPr>
                <w:rFonts w:eastAsia="標楷體"/>
              </w:rPr>
            </w:pPr>
          </w:p>
        </w:tc>
        <w:tc>
          <w:tcPr>
            <w:tcW w:w="1275" w:type="dxa"/>
            <w:vAlign w:val="center"/>
          </w:tcPr>
          <w:p w14:paraId="7DBE9CEA">
            <w:pPr>
              <w:jc w:val="center"/>
              <w:rPr>
                <w:rFonts w:eastAsia="標楷體"/>
              </w:rPr>
            </w:pPr>
          </w:p>
        </w:tc>
      </w:tr>
      <w:tr w14:paraId="2FC7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348" w:type="dxa"/>
            <w:gridSpan w:val="2"/>
            <w:vAlign w:val="center"/>
          </w:tcPr>
          <w:p w14:paraId="760AF09B">
            <w:pPr>
              <w:snapToGrid w:val="0"/>
              <w:jc w:val="center"/>
              <w:rPr>
                <w:rFonts w:eastAsia="標楷體"/>
              </w:rPr>
            </w:pPr>
            <w:r>
              <w:rPr>
                <w:rFonts w:hint="eastAsia" w:eastAsia="標楷體"/>
              </w:rPr>
              <w:t>4</w:t>
            </w:r>
          </w:p>
        </w:tc>
        <w:tc>
          <w:tcPr>
            <w:tcW w:w="1483" w:type="dxa"/>
            <w:vAlign w:val="center"/>
          </w:tcPr>
          <w:p w14:paraId="1CBD5ADA">
            <w:pPr>
              <w:jc w:val="center"/>
              <w:rPr>
                <w:rFonts w:eastAsia="標楷體"/>
              </w:rPr>
            </w:pPr>
          </w:p>
        </w:tc>
        <w:tc>
          <w:tcPr>
            <w:tcW w:w="1417" w:type="dxa"/>
            <w:gridSpan w:val="2"/>
            <w:vAlign w:val="center"/>
          </w:tcPr>
          <w:p w14:paraId="27533071">
            <w:pPr>
              <w:jc w:val="center"/>
              <w:rPr>
                <w:rFonts w:eastAsia="標楷體"/>
              </w:rPr>
            </w:pPr>
          </w:p>
        </w:tc>
        <w:tc>
          <w:tcPr>
            <w:tcW w:w="1559" w:type="dxa"/>
            <w:gridSpan w:val="2"/>
            <w:vAlign w:val="center"/>
          </w:tcPr>
          <w:p w14:paraId="3D763153">
            <w:pPr>
              <w:jc w:val="center"/>
              <w:rPr>
                <w:rFonts w:eastAsia="標楷體"/>
              </w:rPr>
            </w:pPr>
          </w:p>
        </w:tc>
        <w:tc>
          <w:tcPr>
            <w:tcW w:w="1559" w:type="dxa"/>
            <w:gridSpan w:val="2"/>
            <w:vAlign w:val="center"/>
          </w:tcPr>
          <w:p w14:paraId="7A4F018F">
            <w:pPr>
              <w:jc w:val="center"/>
              <w:rPr>
                <w:rFonts w:eastAsia="標楷體"/>
              </w:rPr>
            </w:pPr>
          </w:p>
        </w:tc>
        <w:tc>
          <w:tcPr>
            <w:tcW w:w="1560" w:type="dxa"/>
            <w:gridSpan w:val="2"/>
            <w:vAlign w:val="center"/>
          </w:tcPr>
          <w:p w14:paraId="43FBC4EF">
            <w:pPr>
              <w:jc w:val="center"/>
              <w:rPr>
                <w:rFonts w:eastAsia="標楷體"/>
              </w:rPr>
            </w:pPr>
          </w:p>
        </w:tc>
        <w:tc>
          <w:tcPr>
            <w:tcW w:w="1275" w:type="dxa"/>
            <w:vAlign w:val="center"/>
          </w:tcPr>
          <w:p w14:paraId="2CBED393">
            <w:pPr>
              <w:jc w:val="center"/>
              <w:rPr>
                <w:rFonts w:eastAsia="標楷體"/>
              </w:rPr>
            </w:pPr>
          </w:p>
        </w:tc>
      </w:tr>
      <w:tr w14:paraId="0B41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348" w:type="dxa"/>
            <w:gridSpan w:val="2"/>
            <w:vAlign w:val="center"/>
          </w:tcPr>
          <w:p w14:paraId="1435AA89">
            <w:pPr>
              <w:snapToGrid w:val="0"/>
              <w:jc w:val="center"/>
              <w:rPr>
                <w:rFonts w:eastAsia="標楷體"/>
              </w:rPr>
            </w:pPr>
            <w:r>
              <w:rPr>
                <w:rFonts w:hint="eastAsia" w:eastAsia="標楷體"/>
              </w:rPr>
              <w:t>5</w:t>
            </w:r>
          </w:p>
        </w:tc>
        <w:tc>
          <w:tcPr>
            <w:tcW w:w="1483" w:type="dxa"/>
            <w:vAlign w:val="center"/>
          </w:tcPr>
          <w:p w14:paraId="69DC06E9">
            <w:pPr>
              <w:jc w:val="center"/>
              <w:rPr>
                <w:rFonts w:eastAsia="標楷體"/>
              </w:rPr>
            </w:pPr>
          </w:p>
        </w:tc>
        <w:tc>
          <w:tcPr>
            <w:tcW w:w="1417" w:type="dxa"/>
            <w:gridSpan w:val="2"/>
            <w:vAlign w:val="center"/>
          </w:tcPr>
          <w:p w14:paraId="3901FAE0">
            <w:pPr>
              <w:jc w:val="center"/>
              <w:rPr>
                <w:rFonts w:eastAsia="標楷體"/>
              </w:rPr>
            </w:pPr>
          </w:p>
        </w:tc>
        <w:tc>
          <w:tcPr>
            <w:tcW w:w="1559" w:type="dxa"/>
            <w:gridSpan w:val="2"/>
            <w:vAlign w:val="center"/>
          </w:tcPr>
          <w:p w14:paraId="1C02423D">
            <w:pPr>
              <w:jc w:val="center"/>
              <w:rPr>
                <w:rFonts w:eastAsia="標楷體"/>
              </w:rPr>
            </w:pPr>
          </w:p>
        </w:tc>
        <w:tc>
          <w:tcPr>
            <w:tcW w:w="1559" w:type="dxa"/>
            <w:gridSpan w:val="2"/>
            <w:vAlign w:val="center"/>
          </w:tcPr>
          <w:p w14:paraId="1DB3CFFD">
            <w:pPr>
              <w:jc w:val="center"/>
              <w:rPr>
                <w:rFonts w:eastAsia="標楷體"/>
              </w:rPr>
            </w:pPr>
          </w:p>
        </w:tc>
        <w:tc>
          <w:tcPr>
            <w:tcW w:w="1560" w:type="dxa"/>
            <w:gridSpan w:val="2"/>
            <w:vAlign w:val="center"/>
          </w:tcPr>
          <w:p w14:paraId="163EEEBC">
            <w:pPr>
              <w:jc w:val="center"/>
              <w:rPr>
                <w:rFonts w:eastAsia="標楷體"/>
              </w:rPr>
            </w:pPr>
          </w:p>
        </w:tc>
        <w:tc>
          <w:tcPr>
            <w:tcW w:w="1275" w:type="dxa"/>
            <w:vAlign w:val="center"/>
          </w:tcPr>
          <w:p w14:paraId="07596343">
            <w:pPr>
              <w:jc w:val="center"/>
              <w:rPr>
                <w:rFonts w:eastAsia="標楷體"/>
              </w:rPr>
            </w:pPr>
          </w:p>
        </w:tc>
      </w:tr>
      <w:tr w14:paraId="345D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0" w:hRule="atLeast"/>
        </w:trPr>
        <w:tc>
          <w:tcPr>
            <w:tcW w:w="1348" w:type="dxa"/>
            <w:gridSpan w:val="2"/>
            <w:vAlign w:val="center"/>
          </w:tcPr>
          <w:p w14:paraId="758887A7">
            <w:pPr>
              <w:pStyle w:val="13"/>
              <w:snapToGrid w:val="0"/>
              <w:ind w:firstLine="2"/>
              <w:rPr>
                <w:rFonts w:ascii="Times New Roman" w:hAnsi="Times New Roman"/>
                <w:sz w:val="24"/>
              </w:rPr>
            </w:pPr>
            <w:r>
              <w:rPr>
                <w:rFonts w:hint="eastAsia" w:ascii="Times New Roman" w:hAnsi="Times New Roman"/>
                <w:sz w:val="24"/>
              </w:rPr>
              <w:t>平均總評分</w:t>
            </w:r>
          </w:p>
          <w:p w14:paraId="11C8FCF8">
            <w:pPr>
              <w:snapToGrid w:val="0"/>
              <w:jc w:val="center"/>
            </w:pPr>
            <w:r>
              <w:rPr>
                <w:rFonts w:hint="eastAsia" w:eastAsia="標楷體"/>
              </w:rPr>
              <w:t>（得分加總除以出席委員數）</w:t>
            </w:r>
          </w:p>
        </w:tc>
        <w:tc>
          <w:tcPr>
            <w:tcW w:w="1483" w:type="dxa"/>
            <w:vAlign w:val="center"/>
          </w:tcPr>
          <w:p w14:paraId="669D6DC3">
            <w:pPr>
              <w:jc w:val="center"/>
              <w:rPr>
                <w:rFonts w:eastAsia="標楷體"/>
              </w:rPr>
            </w:pPr>
          </w:p>
        </w:tc>
        <w:tc>
          <w:tcPr>
            <w:tcW w:w="1417" w:type="dxa"/>
            <w:gridSpan w:val="2"/>
            <w:vAlign w:val="center"/>
          </w:tcPr>
          <w:p w14:paraId="4088D078">
            <w:pPr>
              <w:jc w:val="center"/>
              <w:rPr>
                <w:rFonts w:eastAsia="標楷體"/>
              </w:rPr>
            </w:pPr>
          </w:p>
        </w:tc>
        <w:tc>
          <w:tcPr>
            <w:tcW w:w="1559" w:type="dxa"/>
            <w:gridSpan w:val="2"/>
            <w:vAlign w:val="center"/>
          </w:tcPr>
          <w:p w14:paraId="5BB26462">
            <w:pPr>
              <w:jc w:val="center"/>
              <w:rPr>
                <w:rFonts w:eastAsia="標楷體"/>
              </w:rPr>
            </w:pPr>
          </w:p>
        </w:tc>
        <w:tc>
          <w:tcPr>
            <w:tcW w:w="1559" w:type="dxa"/>
            <w:gridSpan w:val="2"/>
            <w:vAlign w:val="center"/>
          </w:tcPr>
          <w:p w14:paraId="65C1E6CE">
            <w:pPr>
              <w:jc w:val="center"/>
              <w:rPr>
                <w:rFonts w:eastAsia="標楷體"/>
              </w:rPr>
            </w:pPr>
          </w:p>
        </w:tc>
        <w:tc>
          <w:tcPr>
            <w:tcW w:w="1560" w:type="dxa"/>
            <w:gridSpan w:val="2"/>
            <w:vAlign w:val="center"/>
          </w:tcPr>
          <w:p w14:paraId="5AC0598E">
            <w:pPr>
              <w:jc w:val="center"/>
              <w:rPr>
                <w:rFonts w:eastAsia="標楷體"/>
              </w:rPr>
            </w:pPr>
          </w:p>
        </w:tc>
        <w:tc>
          <w:tcPr>
            <w:tcW w:w="1275" w:type="dxa"/>
            <w:vAlign w:val="center"/>
          </w:tcPr>
          <w:p w14:paraId="20388BEF">
            <w:pPr>
              <w:jc w:val="center"/>
              <w:rPr>
                <w:rFonts w:eastAsia="標楷體"/>
              </w:rPr>
            </w:pPr>
          </w:p>
        </w:tc>
      </w:tr>
      <w:tr w14:paraId="7C70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trPr>
        <w:tc>
          <w:tcPr>
            <w:tcW w:w="1348" w:type="dxa"/>
            <w:gridSpan w:val="2"/>
            <w:vAlign w:val="center"/>
          </w:tcPr>
          <w:p w14:paraId="6EDBB813">
            <w:pPr>
              <w:snapToGrid w:val="0"/>
              <w:jc w:val="center"/>
              <w:rPr>
                <w:rFonts w:eastAsia="標楷體"/>
              </w:rPr>
            </w:pPr>
            <w:r>
              <w:rPr>
                <w:rFonts w:hint="eastAsia" w:eastAsia="標楷體"/>
              </w:rPr>
              <w:t>序位合計</w:t>
            </w:r>
          </w:p>
        </w:tc>
        <w:tc>
          <w:tcPr>
            <w:tcW w:w="1483" w:type="dxa"/>
            <w:vAlign w:val="center"/>
          </w:tcPr>
          <w:p w14:paraId="7E319DEB">
            <w:pPr>
              <w:jc w:val="center"/>
              <w:rPr>
                <w:rFonts w:eastAsia="標楷體"/>
              </w:rPr>
            </w:pPr>
          </w:p>
        </w:tc>
        <w:tc>
          <w:tcPr>
            <w:tcW w:w="1417" w:type="dxa"/>
            <w:gridSpan w:val="2"/>
            <w:vAlign w:val="center"/>
          </w:tcPr>
          <w:p w14:paraId="50844BA9">
            <w:pPr>
              <w:jc w:val="center"/>
              <w:rPr>
                <w:rFonts w:eastAsia="標楷體"/>
              </w:rPr>
            </w:pPr>
          </w:p>
        </w:tc>
        <w:tc>
          <w:tcPr>
            <w:tcW w:w="1559" w:type="dxa"/>
            <w:gridSpan w:val="2"/>
            <w:vAlign w:val="center"/>
          </w:tcPr>
          <w:p w14:paraId="7E578601">
            <w:pPr>
              <w:jc w:val="center"/>
              <w:rPr>
                <w:rFonts w:eastAsia="標楷體"/>
              </w:rPr>
            </w:pPr>
          </w:p>
        </w:tc>
        <w:tc>
          <w:tcPr>
            <w:tcW w:w="1559" w:type="dxa"/>
            <w:gridSpan w:val="2"/>
            <w:vAlign w:val="center"/>
          </w:tcPr>
          <w:p w14:paraId="7EBCDEFA">
            <w:pPr>
              <w:jc w:val="center"/>
              <w:rPr>
                <w:rFonts w:eastAsia="標楷體"/>
              </w:rPr>
            </w:pPr>
          </w:p>
        </w:tc>
        <w:tc>
          <w:tcPr>
            <w:tcW w:w="1560" w:type="dxa"/>
            <w:gridSpan w:val="2"/>
            <w:vAlign w:val="center"/>
          </w:tcPr>
          <w:p w14:paraId="2EC31E86">
            <w:pPr>
              <w:jc w:val="center"/>
              <w:rPr>
                <w:rFonts w:eastAsia="標楷體"/>
              </w:rPr>
            </w:pPr>
          </w:p>
        </w:tc>
        <w:tc>
          <w:tcPr>
            <w:tcW w:w="1275" w:type="dxa"/>
            <w:vAlign w:val="center"/>
          </w:tcPr>
          <w:p w14:paraId="0E76BE58">
            <w:pPr>
              <w:jc w:val="center"/>
              <w:rPr>
                <w:rFonts w:eastAsia="標楷體"/>
              </w:rPr>
            </w:pPr>
          </w:p>
        </w:tc>
      </w:tr>
      <w:tr w14:paraId="3A80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rPr>
        <w:tc>
          <w:tcPr>
            <w:tcW w:w="1348" w:type="dxa"/>
            <w:gridSpan w:val="2"/>
            <w:vAlign w:val="center"/>
          </w:tcPr>
          <w:p w14:paraId="12D82AAB">
            <w:pPr>
              <w:snapToGrid w:val="0"/>
              <w:jc w:val="center"/>
              <w:rPr>
                <w:rFonts w:eastAsia="標楷體"/>
              </w:rPr>
            </w:pPr>
            <w:r>
              <w:rPr>
                <w:rFonts w:hint="eastAsia" w:eastAsia="標楷體"/>
              </w:rPr>
              <w:t>序位名次</w:t>
            </w:r>
          </w:p>
        </w:tc>
        <w:tc>
          <w:tcPr>
            <w:tcW w:w="2900" w:type="dxa"/>
            <w:gridSpan w:val="3"/>
            <w:vAlign w:val="center"/>
          </w:tcPr>
          <w:p w14:paraId="09E98E42">
            <w:pPr>
              <w:jc w:val="center"/>
              <w:rPr>
                <w:rFonts w:eastAsia="標楷體"/>
              </w:rPr>
            </w:pPr>
          </w:p>
        </w:tc>
        <w:tc>
          <w:tcPr>
            <w:tcW w:w="3118" w:type="dxa"/>
            <w:gridSpan w:val="4"/>
            <w:vAlign w:val="center"/>
          </w:tcPr>
          <w:p w14:paraId="60032CED">
            <w:pPr>
              <w:jc w:val="center"/>
              <w:rPr>
                <w:rFonts w:eastAsia="標楷體"/>
              </w:rPr>
            </w:pPr>
          </w:p>
        </w:tc>
        <w:tc>
          <w:tcPr>
            <w:tcW w:w="2835" w:type="dxa"/>
            <w:gridSpan w:val="3"/>
            <w:vAlign w:val="center"/>
          </w:tcPr>
          <w:p w14:paraId="74DF6DB7">
            <w:pPr>
              <w:jc w:val="center"/>
              <w:rPr>
                <w:rFonts w:eastAsia="標楷體"/>
              </w:rPr>
            </w:pPr>
          </w:p>
        </w:tc>
      </w:tr>
      <w:tr w14:paraId="464C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729" w:type="dxa"/>
            <w:vMerge w:val="restart"/>
            <w:vAlign w:val="center"/>
          </w:tcPr>
          <w:p w14:paraId="01458D9A">
            <w:pPr>
              <w:snapToGrid w:val="0"/>
              <w:jc w:val="center"/>
              <w:rPr>
                <w:rFonts w:eastAsia="標楷體"/>
                <w:sz w:val="20"/>
              </w:rPr>
            </w:pPr>
            <w:r>
              <w:rPr>
                <w:rFonts w:hint="eastAsia" w:eastAsia="標楷體"/>
                <w:sz w:val="20"/>
              </w:rPr>
              <w:t>全部</w:t>
            </w:r>
          </w:p>
          <w:p w14:paraId="6455F28F">
            <w:pPr>
              <w:snapToGrid w:val="0"/>
              <w:jc w:val="center"/>
              <w:rPr>
                <w:rFonts w:eastAsia="標楷體"/>
                <w:sz w:val="20"/>
              </w:rPr>
            </w:pPr>
            <w:r>
              <w:rPr>
                <w:rFonts w:hint="eastAsia" w:eastAsia="標楷體"/>
                <w:sz w:val="20"/>
              </w:rPr>
              <w:t>評審</w:t>
            </w:r>
          </w:p>
          <w:p w14:paraId="504738D5">
            <w:pPr>
              <w:snapToGrid w:val="0"/>
              <w:jc w:val="center"/>
              <w:rPr>
                <w:rFonts w:eastAsia="標楷體"/>
                <w:sz w:val="10"/>
                <w:szCs w:val="10"/>
              </w:rPr>
            </w:pPr>
            <w:r>
              <w:rPr>
                <w:rFonts w:hint="eastAsia" w:eastAsia="標楷體"/>
                <w:sz w:val="20"/>
              </w:rPr>
              <w:t>委員</w:t>
            </w:r>
          </w:p>
        </w:tc>
        <w:tc>
          <w:tcPr>
            <w:tcW w:w="619" w:type="dxa"/>
            <w:vAlign w:val="center"/>
          </w:tcPr>
          <w:p w14:paraId="575C235C">
            <w:pPr>
              <w:snapToGrid w:val="0"/>
              <w:jc w:val="center"/>
              <w:rPr>
                <w:rFonts w:eastAsia="標楷體"/>
              </w:rPr>
            </w:pPr>
            <w:r>
              <w:rPr>
                <w:rFonts w:hint="eastAsia" w:eastAsia="標楷體"/>
              </w:rPr>
              <w:t>姓名</w:t>
            </w:r>
          </w:p>
        </w:tc>
        <w:tc>
          <w:tcPr>
            <w:tcW w:w="1648" w:type="dxa"/>
            <w:gridSpan w:val="2"/>
            <w:vAlign w:val="center"/>
          </w:tcPr>
          <w:p w14:paraId="04C5746A">
            <w:pPr>
              <w:jc w:val="center"/>
              <w:rPr>
                <w:rFonts w:eastAsia="標楷體"/>
              </w:rPr>
            </w:pPr>
          </w:p>
        </w:tc>
        <w:tc>
          <w:tcPr>
            <w:tcW w:w="1755" w:type="dxa"/>
            <w:gridSpan w:val="2"/>
            <w:vAlign w:val="center"/>
          </w:tcPr>
          <w:p w14:paraId="260FC0E1">
            <w:pPr>
              <w:jc w:val="center"/>
              <w:rPr>
                <w:rFonts w:eastAsia="標楷體"/>
              </w:rPr>
            </w:pPr>
          </w:p>
        </w:tc>
        <w:tc>
          <w:tcPr>
            <w:tcW w:w="1755" w:type="dxa"/>
            <w:gridSpan w:val="2"/>
            <w:vAlign w:val="center"/>
          </w:tcPr>
          <w:p w14:paraId="45673E52">
            <w:pPr>
              <w:jc w:val="center"/>
              <w:rPr>
                <w:rFonts w:eastAsia="標楷體"/>
              </w:rPr>
            </w:pPr>
          </w:p>
        </w:tc>
        <w:tc>
          <w:tcPr>
            <w:tcW w:w="1875" w:type="dxa"/>
            <w:gridSpan w:val="2"/>
            <w:vAlign w:val="center"/>
          </w:tcPr>
          <w:p w14:paraId="24CEADAD">
            <w:pPr>
              <w:jc w:val="center"/>
              <w:rPr>
                <w:rFonts w:eastAsia="標楷體"/>
              </w:rPr>
            </w:pPr>
          </w:p>
        </w:tc>
        <w:tc>
          <w:tcPr>
            <w:tcW w:w="1820" w:type="dxa"/>
            <w:gridSpan w:val="2"/>
          </w:tcPr>
          <w:p w14:paraId="27E9902E">
            <w:pPr>
              <w:jc w:val="center"/>
              <w:rPr>
                <w:rFonts w:eastAsia="標楷體"/>
              </w:rPr>
            </w:pPr>
          </w:p>
        </w:tc>
      </w:tr>
      <w:tr w14:paraId="33D7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trPr>
        <w:tc>
          <w:tcPr>
            <w:tcW w:w="729" w:type="dxa"/>
            <w:vMerge w:val="continue"/>
            <w:vAlign w:val="center"/>
          </w:tcPr>
          <w:p w14:paraId="10883EB3">
            <w:pPr>
              <w:snapToGrid w:val="0"/>
              <w:jc w:val="center"/>
              <w:rPr>
                <w:rFonts w:eastAsia="標楷體"/>
              </w:rPr>
            </w:pPr>
          </w:p>
        </w:tc>
        <w:tc>
          <w:tcPr>
            <w:tcW w:w="619" w:type="dxa"/>
            <w:vAlign w:val="center"/>
          </w:tcPr>
          <w:p w14:paraId="55DA0010">
            <w:pPr>
              <w:snapToGrid w:val="0"/>
              <w:jc w:val="center"/>
              <w:rPr>
                <w:rFonts w:eastAsia="標楷體"/>
              </w:rPr>
            </w:pPr>
            <w:r>
              <w:rPr>
                <w:rFonts w:hint="eastAsia" w:eastAsia="標楷體"/>
              </w:rPr>
              <w:t>職業</w:t>
            </w:r>
          </w:p>
        </w:tc>
        <w:tc>
          <w:tcPr>
            <w:tcW w:w="1648" w:type="dxa"/>
            <w:gridSpan w:val="2"/>
            <w:vAlign w:val="center"/>
          </w:tcPr>
          <w:p w14:paraId="27415801">
            <w:pPr>
              <w:jc w:val="center"/>
              <w:rPr>
                <w:rFonts w:eastAsia="標楷體"/>
              </w:rPr>
            </w:pPr>
          </w:p>
        </w:tc>
        <w:tc>
          <w:tcPr>
            <w:tcW w:w="1755" w:type="dxa"/>
            <w:gridSpan w:val="2"/>
            <w:vAlign w:val="center"/>
          </w:tcPr>
          <w:p w14:paraId="10D9F150">
            <w:pPr>
              <w:jc w:val="center"/>
              <w:rPr>
                <w:rFonts w:eastAsia="標楷體"/>
              </w:rPr>
            </w:pPr>
          </w:p>
        </w:tc>
        <w:tc>
          <w:tcPr>
            <w:tcW w:w="1755" w:type="dxa"/>
            <w:gridSpan w:val="2"/>
            <w:vAlign w:val="center"/>
          </w:tcPr>
          <w:p w14:paraId="140B4077">
            <w:pPr>
              <w:jc w:val="center"/>
              <w:rPr>
                <w:rFonts w:eastAsia="標楷體"/>
              </w:rPr>
            </w:pPr>
          </w:p>
        </w:tc>
        <w:tc>
          <w:tcPr>
            <w:tcW w:w="1875" w:type="dxa"/>
            <w:gridSpan w:val="2"/>
            <w:vAlign w:val="center"/>
          </w:tcPr>
          <w:p w14:paraId="0EB4C3C4">
            <w:pPr>
              <w:jc w:val="center"/>
              <w:rPr>
                <w:rFonts w:eastAsia="標楷體"/>
              </w:rPr>
            </w:pPr>
          </w:p>
        </w:tc>
        <w:tc>
          <w:tcPr>
            <w:tcW w:w="1820" w:type="dxa"/>
            <w:gridSpan w:val="2"/>
          </w:tcPr>
          <w:p w14:paraId="47C6E1F6">
            <w:pPr>
              <w:jc w:val="center"/>
              <w:rPr>
                <w:rFonts w:eastAsia="標楷體"/>
              </w:rPr>
            </w:pPr>
          </w:p>
        </w:tc>
      </w:tr>
      <w:tr w14:paraId="3AEE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729" w:type="dxa"/>
            <w:vMerge w:val="continue"/>
            <w:vAlign w:val="center"/>
          </w:tcPr>
          <w:p w14:paraId="6C04E1C0">
            <w:pPr>
              <w:snapToGrid w:val="0"/>
              <w:jc w:val="center"/>
              <w:rPr>
                <w:rFonts w:eastAsia="標楷體"/>
              </w:rPr>
            </w:pPr>
          </w:p>
        </w:tc>
        <w:tc>
          <w:tcPr>
            <w:tcW w:w="619" w:type="dxa"/>
            <w:vAlign w:val="center"/>
          </w:tcPr>
          <w:p w14:paraId="1255771E">
            <w:pPr>
              <w:snapToGrid w:val="0"/>
              <w:jc w:val="center"/>
              <w:rPr>
                <w:rFonts w:eastAsia="標楷體"/>
              </w:rPr>
            </w:pPr>
            <w:r>
              <w:rPr>
                <w:rFonts w:hint="eastAsia" w:eastAsia="標楷體"/>
              </w:rPr>
              <w:t>委員簽名</w:t>
            </w:r>
          </w:p>
        </w:tc>
        <w:tc>
          <w:tcPr>
            <w:tcW w:w="1648" w:type="dxa"/>
            <w:gridSpan w:val="2"/>
            <w:vAlign w:val="center"/>
          </w:tcPr>
          <w:p w14:paraId="73C770D1">
            <w:pPr>
              <w:jc w:val="center"/>
              <w:rPr>
                <w:rFonts w:eastAsia="標楷體"/>
              </w:rPr>
            </w:pPr>
          </w:p>
        </w:tc>
        <w:tc>
          <w:tcPr>
            <w:tcW w:w="1755" w:type="dxa"/>
            <w:gridSpan w:val="2"/>
            <w:vAlign w:val="center"/>
          </w:tcPr>
          <w:p w14:paraId="45400799">
            <w:pPr>
              <w:jc w:val="center"/>
              <w:rPr>
                <w:rFonts w:eastAsia="標楷體"/>
              </w:rPr>
            </w:pPr>
          </w:p>
        </w:tc>
        <w:tc>
          <w:tcPr>
            <w:tcW w:w="1755" w:type="dxa"/>
            <w:gridSpan w:val="2"/>
            <w:vAlign w:val="center"/>
          </w:tcPr>
          <w:p w14:paraId="44705438">
            <w:pPr>
              <w:jc w:val="center"/>
              <w:rPr>
                <w:rFonts w:eastAsia="標楷體"/>
              </w:rPr>
            </w:pPr>
          </w:p>
        </w:tc>
        <w:tc>
          <w:tcPr>
            <w:tcW w:w="1875" w:type="dxa"/>
            <w:gridSpan w:val="2"/>
            <w:vAlign w:val="center"/>
          </w:tcPr>
          <w:p w14:paraId="245BC7CE">
            <w:pPr>
              <w:jc w:val="center"/>
              <w:rPr>
                <w:rFonts w:eastAsia="標楷體"/>
              </w:rPr>
            </w:pPr>
          </w:p>
        </w:tc>
        <w:tc>
          <w:tcPr>
            <w:tcW w:w="1820" w:type="dxa"/>
            <w:gridSpan w:val="2"/>
          </w:tcPr>
          <w:p w14:paraId="700CED0B">
            <w:pPr>
              <w:jc w:val="center"/>
              <w:rPr>
                <w:rFonts w:eastAsia="標楷體"/>
              </w:rPr>
            </w:pPr>
          </w:p>
        </w:tc>
      </w:tr>
      <w:bookmarkEnd w:id="26"/>
    </w:tbl>
    <w:p w14:paraId="73C53DB9">
      <w:pPr>
        <w:rPr>
          <w:rFonts w:ascii="標楷體" w:hAnsi="標楷體" w:eastAsia="標楷體"/>
        </w:rPr>
      </w:pPr>
    </w:p>
    <w:p w14:paraId="70DDD8BE">
      <w:pPr>
        <w:rPr>
          <w:rFonts w:ascii="標楷體" w:hAnsi="標楷體" w:eastAsia="標楷體"/>
        </w:rPr>
      </w:pPr>
      <w:r>
        <w:rPr>
          <w:rFonts w:hint="eastAsia" w:ascii="標楷體" w:hAnsi="標楷體" w:eastAsia="標楷體"/>
        </w:rPr>
        <w:t>一、評分後若投標廠商之總平均75分以上（含）者為及格，未達者，不列入優勝廠商。</w:t>
      </w:r>
    </w:p>
    <w:p w14:paraId="09D0D8A7">
      <w:pPr>
        <w:ind w:left="425" w:hanging="424" w:hangingChars="177"/>
        <w:rPr>
          <w:rFonts w:ascii="標楷體" w:hAnsi="標楷體" w:eastAsia="標楷體"/>
        </w:rPr>
      </w:pPr>
      <w:r>
        <w:rPr>
          <w:rFonts w:hint="eastAsia" w:ascii="標楷體" w:hAnsi="標楷體" w:eastAsia="標楷體"/>
        </w:rPr>
        <w:t>二、依評審及格廠商所得總序位數高低，決定與本會議價之優先順序，總序位數最低者，取得優先議價權；有2家以上廠商為同一優勝序位時，以標價低者優先議價；如又相同者，擇獲得評審委員評定序位第一較多者優先議價，如該項目分數仍相同者，抽籤決定之。</w:t>
      </w:r>
    </w:p>
    <w:p w14:paraId="2C143A3D">
      <w:pPr>
        <w:rPr>
          <w:rFonts w:ascii="標楷體" w:hAnsi="標楷體" w:eastAsia="標楷體"/>
        </w:rPr>
      </w:pPr>
    </w:p>
    <w:p w14:paraId="1F0AF926">
      <w:pPr>
        <w:rPr>
          <w:rFonts w:ascii="標楷體" w:hAnsi="標楷體" w:eastAsia="標楷體"/>
        </w:rPr>
      </w:pPr>
    </w:p>
    <w:sectPr>
      <w:footerReference r:id="rId5" w:type="default"/>
      <w:footerReference r:id="rId6" w:type="even"/>
      <w:pgSz w:w="11906" w:h="16838"/>
      <w:pgMar w:top="720" w:right="720" w:bottom="720" w:left="720"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中黑體">
    <w:altName w:val="細明體"/>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30A8">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6FBE951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C3F4">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7E123F6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C7559"/>
    <w:multiLevelType w:val="multilevel"/>
    <w:tmpl w:val="06CC7559"/>
    <w:lvl w:ilvl="0" w:tentative="0">
      <w:start w:val="1"/>
      <w:numFmt w:val="taiwaneseCountingThousand"/>
      <w:lvlText w:val="(%1)"/>
      <w:lvlJc w:val="left"/>
      <w:pPr>
        <w:ind w:left="1358" w:hanging="720"/>
      </w:pPr>
      <w:rPr>
        <w:rFonts w:hint="default"/>
      </w:rPr>
    </w:lvl>
    <w:lvl w:ilvl="1" w:tentative="0">
      <w:start w:val="1"/>
      <w:numFmt w:val="ideographTraditional"/>
      <w:lvlText w:val="%2、"/>
      <w:lvlJc w:val="left"/>
      <w:pPr>
        <w:ind w:left="1598" w:hanging="480"/>
      </w:pPr>
    </w:lvl>
    <w:lvl w:ilvl="2" w:tentative="0">
      <w:start w:val="1"/>
      <w:numFmt w:val="lowerRoman"/>
      <w:lvlText w:val="%3."/>
      <w:lvlJc w:val="right"/>
      <w:pPr>
        <w:ind w:left="2078" w:hanging="480"/>
      </w:pPr>
    </w:lvl>
    <w:lvl w:ilvl="3" w:tentative="0">
      <w:start w:val="1"/>
      <w:numFmt w:val="decimal"/>
      <w:lvlText w:val="%4."/>
      <w:lvlJc w:val="left"/>
      <w:pPr>
        <w:ind w:left="2558" w:hanging="480"/>
      </w:pPr>
    </w:lvl>
    <w:lvl w:ilvl="4" w:tentative="0">
      <w:start w:val="1"/>
      <w:numFmt w:val="ideographTraditional"/>
      <w:lvlText w:val="%5、"/>
      <w:lvlJc w:val="left"/>
      <w:pPr>
        <w:ind w:left="3038" w:hanging="480"/>
      </w:pPr>
    </w:lvl>
    <w:lvl w:ilvl="5" w:tentative="0">
      <w:start w:val="1"/>
      <w:numFmt w:val="lowerRoman"/>
      <w:lvlText w:val="%6."/>
      <w:lvlJc w:val="right"/>
      <w:pPr>
        <w:ind w:left="3518" w:hanging="480"/>
      </w:pPr>
    </w:lvl>
    <w:lvl w:ilvl="6" w:tentative="0">
      <w:start w:val="1"/>
      <w:numFmt w:val="decimal"/>
      <w:lvlText w:val="%7."/>
      <w:lvlJc w:val="left"/>
      <w:pPr>
        <w:ind w:left="3998" w:hanging="480"/>
      </w:pPr>
    </w:lvl>
    <w:lvl w:ilvl="7" w:tentative="0">
      <w:start w:val="1"/>
      <w:numFmt w:val="ideographTraditional"/>
      <w:lvlText w:val="%8、"/>
      <w:lvlJc w:val="left"/>
      <w:pPr>
        <w:ind w:left="4478" w:hanging="480"/>
      </w:pPr>
    </w:lvl>
    <w:lvl w:ilvl="8" w:tentative="0">
      <w:start w:val="1"/>
      <w:numFmt w:val="lowerRoman"/>
      <w:lvlText w:val="%9."/>
      <w:lvlJc w:val="right"/>
      <w:pPr>
        <w:ind w:left="4958" w:hanging="480"/>
      </w:pPr>
    </w:lvl>
  </w:abstractNum>
  <w:abstractNum w:abstractNumId="1">
    <w:nsid w:val="1B7E66D1"/>
    <w:multiLevelType w:val="multilevel"/>
    <w:tmpl w:val="1B7E66D1"/>
    <w:lvl w:ilvl="0" w:tentative="0">
      <w:start w:val="1"/>
      <w:numFmt w:val="taiwaneseCountingThousand"/>
      <w:lvlText w:val="%1、"/>
      <w:lvlJc w:val="left"/>
      <w:pPr>
        <w:ind w:left="796" w:hanging="480"/>
      </w:pPr>
    </w:lvl>
    <w:lvl w:ilvl="1" w:tentative="0">
      <w:start w:val="1"/>
      <w:numFmt w:val="ideographTraditional"/>
      <w:lvlText w:val="%2、"/>
      <w:lvlJc w:val="left"/>
      <w:pPr>
        <w:ind w:left="1276" w:hanging="480"/>
      </w:pPr>
    </w:lvl>
    <w:lvl w:ilvl="2" w:tentative="0">
      <w:start w:val="1"/>
      <w:numFmt w:val="lowerRoman"/>
      <w:lvlText w:val="%3."/>
      <w:lvlJc w:val="right"/>
      <w:pPr>
        <w:ind w:left="1756" w:hanging="480"/>
      </w:pPr>
    </w:lvl>
    <w:lvl w:ilvl="3" w:tentative="0">
      <w:start w:val="1"/>
      <w:numFmt w:val="decimal"/>
      <w:lvlText w:val="%4."/>
      <w:lvlJc w:val="left"/>
      <w:pPr>
        <w:ind w:left="2236" w:hanging="480"/>
      </w:pPr>
    </w:lvl>
    <w:lvl w:ilvl="4" w:tentative="0">
      <w:start w:val="1"/>
      <w:numFmt w:val="ideographTraditional"/>
      <w:lvlText w:val="%5、"/>
      <w:lvlJc w:val="left"/>
      <w:pPr>
        <w:ind w:left="2716" w:hanging="480"/>
      </w:pPr>
    </w:lvl>
    <w:lvl w:ilvl="5" w:tentative="0">
      <w:start w:val="1"/>
      <w:numFmt w:val="lowerRoman"/>
      <w:lvlText w:val="%6."/>
      <w:lvlJc w:val="right"/>
      <w:pPr>
        <w:ind w:left="3196" w:hanging="480"/>
      </w:pPr>
    </w:lvl>
    <w:lvl w:ilvl="6" w:tentative="0">
      <w:start w:val="1"/>
      <w:numFmt w:val="decimal"/>
      <w:lvlText w:val="%7."/>
      <w:lvlJc w:val="left"/>
      <w:pPr>
        <w:ind w:left="3676" w:hanging="480"/>
      </w:pPr>
    </w:lvl>
    <w:lvl w:ilvl="7" w:tentative="0">
      <w:start w:val="1"/>
      <w:numFmt w:val="ideographTraditional"/>
      <w:lvlText w:val="%8、"/>
      <w:lvlJc w:val="left"/>
      <w:pPr>
        <w:ind w:left="4156" w:hanging="480"/>
      </w:pPr>
    </w:lvl>
    <w:lvl w:ilvl="8" w:tentative="0">
      <w:start w:val="1"/>
      <w:numFmt w:val="lowerRoman"/>
      <w:lvlText w:val="%9."/>
      <w:lvlJc w:val="right"/>
      <w:pPr>
        <w:ind w:left="4636" w:hanging="480"/>
      </w:pPr>
    </w:lvl>
  </w:abstractNum>
  <w:abstractNum w:abstractNumId="2">
    <w:nsid w:val="29EB46FE"/>
    <w:multiLevelType w:val="multilevel"/>
    <w:tmpl w:val="29EB46FE"/>
    <w:lvl w:ilvl="0" w:tentative="0">
      <w:start w:val="1"/>
      <w:numFmt w:val="taiwaneseCountingThousand"/>
      <w:lvlText w:val="%1、"/>
      <w:lvlJc w:val="left"/>
      <w:pPr>
        <w:tabs>
          <w:tab w:val="left" w:pos="1048"/>
        </w:tabs>
        <w:ind w:left="1048" w:hanging="480"/>
      </w:pPr>
      <w:rPr>
        <w:rFonts w:hint="eastAsia"/>
      </w:rPr>
    </w:lvl>
    <w:lvl w:ilvl="1" w:tentative="0">
      <w:start w:val="1"/>
      <w:numFmt w:val="ideographTraditional"/>
      <w:lvlText w:val="%2、"/>
      <w:lvlJc w:val="left"/>
      <w:pPr>
        <w:tabs>
          <w:tab w:val="left" w:pos="2164"/>
        </w:tabs>
        <w:ind w:left="2164" w:hanging="480"/>
      </w:pPr>
    </w:lvl>
    <w:lvl w:ilvl="2" w:tentative="0">
      <w:start w:val="1"/>
      <w:numFmt w:val="lowerRoman"/>
      <w:lvlText w:val="%3."/>
      <w:lvlJc w:val="right"/>
      <w:pPr>
        <w:tabs>
          <w:tab w:val="left" w:pos="2644"/>
        </w:tabs>
        <w:ind w:left="2644" w:hanging="480"/>
      </w:pPr>
    </w:lvl>
    <w:lvl w:ilvl="3" w:tentative="0">
      <w:start w:val="1"/>
      <w:numFmt w:val="decimal"/>
      <w:lvlText w:val="%4."/>
      <w:lvlJc w:val="left"/>
      <w:pPr>
        <w:tabs>
          <w:tab w:val="left" w:pos="3124"/>
        </w:tabs>
        <w:ind w:left="3124" w:hanging="480"/>
      </w:pPr>
    </w:lvl>
    <w:lvl w:ilvl="4" w:tentative="0">
      <w:start w:val="1"/>
      <w:numFmt w:val="ideographTraditional"/>
      <w:lvlText w:val="%5、"/>
      <w:lvlJc w:val="left"/>
      <w:pPr>
        <w:tabs>
          <w:tab w:val="left" w:pos="3604"/>
        </w:tabs>
        <w:ind w:left="3604" w:hanging="480"/>
      </w:pPr>
    </w:lvl>
    <w:lvl w:ilvl="5" w:tentative="0">
      <w:start w:val="1"/>
      <w:numFmt w:val="lowerRoman"/>
      <w:lvlText w:val="%6."/>
      <w:lvlJc w:val="right"/>
      <w:pPr>
        <w:tabs>
          <w:tab w:val="left" w:pos="4084"/>
        </w:tabs>
        <w:ind w:left="4084" w:hanging="480"/>
      </w:pPr>
    </w:lvl>
    <w:lvl w:ilvl="6" w:tentative="0">
      <w:start w:val="1"/>
      <w:numFmt w:val="decimal"/>
      <w:lvlText w:val="%7."/>
      <w:lvlJc w:val="left"/>
      <w:pPr>
        <w:tabs>
          <w:tab w:val="left" w:pos="4564"/>
        </w:tabs>
        <w:ind w:left="4564" w:hanging="480"/>
      </w:pPr>
    </w:lvl>
    <w:lvl w:ilvl="7" w:tentative="0">
      <w:start w:val="1"/>
      <w:numFmt w:val="ideographTraditional"/>
      <w:lvlText w:val="%8、"/>
      <w:lvlJc w:val="left"/>
      <w:pPr>
        <w:tabs>
          <w:tab w:val="left" w:pos="5044"/>
        </w:tabs>
        <w:ind w:left="5044" w:hanging="480"/>
      </w:pPr>
    </w:lvl>
    <w:lvl w:ilvl="8" w:tentative="0">
      <w:start w:val="1"/>
      <w:numFmt w:val="lowerRoman"/>
      <w:lvlText w:val="%9."/>
      <w:lvlJc w:val="right"/>
      <w:pPr>
        <w:tabs>
          <w:tab w:val="left" w:pos="5524"/>
        </w:tabs>
        <w:ind w:left="5524" w:hanging="480"/>
      </w:pPr>
    </w:lvl>
  </w:abstractNum>
  <w:abstractNum w:abstractNumId="3">
    <w:nsid w:val="2BD415C8"/>
    <w:multiLevelType w:val="multilevel"/>
    <w:tmpl w:val="2BD415C8"/>
    <w:lvl w:ilvl="0" w:tentative="0">
      <w:start w:val="1"/>
      <w:numFmt w:val="taiwaneseCountingThousand"/>
      <w:lvlText w:val="%1、"/>
      <w:lvlJc w:val="left"/>
      <w:pPr>
        <w:ind w:left="796" w:hanging="480"/>
      </w:pPr>
    </w:lvl>
    <w:lvl w:ilvl="1" w:tentative="0">
      <w:start w:val="1"/>
      <w:numFmt w:val="ideographTraditional"/>
      <w:lvlText w:val="%2、"/>
      <w:lvlJc w:val="left"/>
      <w:pPr>
        <w:ind w:left="1276" w:hanging="480"/>
      </w:pPr>
    </w:lvl>
    <w:lvl w:ilvl="2" w:tentative="0">
      <w:start w:val="1"/>
      <w:numFmt w:val="lowerRoman"/>
      <w:lvlText w:val="%3."/>
      <w:lvlJc w:val="right"/>
      <w:pPr>
        <w:ind w:left="1756" w:hanging="480"/>
      </w:pPr>
    </w:lvl>
    <w:lvl w:ilvl="3" w:tentative="0">
      <w:start w:val="1"/>
      <w:numFmt w:val="decimal"/>
      <w:lvlText w:val="%4."/>
      <w:lvlJc w:val="left"/>
      <w:pPr>
        <w:ind w:left="2236" w:hanging="480"/>
      </w:pPr>
    </w:lvl>
    <w:lvl w:ilvl="4" w:tentative="0">
      <w:start w:val="1"/>
      <w:numFmt w:val="ideographTraditional"/>
      <w:lvlText w:val="%5、"/>
      <w:lvlJc w:val="left"/>
      <w:pPr>
        <w:ind w:left="2716" w:hanging="480"/>
      </w:pPr>
    </w:lvl>
    <w:lvl w:ilvl="5" w:tentative="0">
      <w:start w:val="1"/>
      <w:numFmt w:val="lowerRoman"/>
      <w:lvlText w:val="%6."/>
      <w:lvlJc w:val="right"/>
      <w:pPr>
        <w:ind w:left="3196" w:hanging="480"/>
      </w:pPr>
    </w:lvl>
    <w:lvl w:ilvl="6" w:tentative="0">
      <w:start w:val="1"/>
      <w:numFmt w:val="decimal"/>
      <w:lvlText w:val="%7."/>
      <w:lvlJc w:val="left"/>
      <w:pPr>
        <w:ind w:left="3676" w:hanging="480"/>
      </w:pPr>
    </w:lvl>
    <w:lvl w:ilvl="7" w:tentative="0">
      <w:start w:val="1"/>
      <w:numFmt w:val="ideographTraditional"/>
      <w:lvlText w:val="%8、"/>
      <w:lvlJc w:val="left"/>
      <w:pPr>
        <w:ind w:left="4156" w:hanging="480"/>
      </w:pPr>
    </w:lvl>
    <w:lvl w:ilvl="8" w:tentative="0">
      <w:start w:val="1"/>
      <w:numFmt w:val="lowerRoman"/>
      <w:lvlText w:val="%9."/>
      <w:lvlJc w:val="right"/>
      <w:pPr>
        <w:ind w:left="4636" w:hanging="480"/>
      </w:pPr>
    </w:lvl>
  </w:abstractNum>
  <w:abstractNum w:abstractNumId="4">
    <w:nsid w:val="469D3F2F"/>
    <w:multiLevelType w:val="multilevel"/>
    <w:tmpl w:val="469D3F2F"/>
    <w:lvl w:ilvl="0" w:tentative="0">
      <w:start w:val="1"/>
      <w:numFmt w:val="taiwaneseCountingThousand"/>
      <w:lvlText w:val="%1、"/>
      <w:lvlJc w:val="left"/>
      <w:pPr>
        <w:ind w:left="796" w:hanging="480"/>
      </w:pPr>
    </w:lvl>
    <w:lvl w:ilvl="1" w:tentative="0">
      <w:start w:val="1"/>
      <w:numFmt w:val="ideographTraditional"/>
      <w:lvlText w:val="%2、"/>
      <w:lvlJc w:val="left"/>
      <w:pPr>
        <w:ind w:left="1276" w:hanging="480"/>
      </w:pPr>
    </w:lvl>
    <w:lvl w:ilvl="2" w:tentative="0">
      <w:start w:val="1"/>
      <w:numFmt w:val="lowerRoman"/>
      <w:lvlText w:val="%3."/>
      <w:lvlJc w:val="right"/>
      <w:pPr>
        <w:ind w:left="1756" w:hanging="480"/>
      </w:pPr>
    </w:lvl>
    <w:lvl w:ilvl="3" w:tentative="0">
      <w:start w:val="1"/>
      <w:numFmt w:val="decimal"/>
      <w:lvlText w:val="%4."/>
      <w:lvlJc w:val="left"/>
      <w:pPr>
        <w:ind w:left="2236" w:hanging="480"/>
      </w:pPr>
    </w:lvl>
    <w:lvl w:ilvl="4" w:tentative="0">
      <w:start w:val="1"/>
      <w:numFmt w:val="ideographTraditional"/>
      <w:lvlText w:val="%5、"/>
      <w:lvlJc w:val="left"/>
      <w:pPr>
        <w:ind w:left="2716" w:hanging="480"/>
      </w:pPr>
    </w:lvl>
    <w:lvl w:ilvl="5" w:tentative="0">
      <w:start w:val="1"/>
      <w:numFmt w:val="lowerRoman"/>
      <w:lvlText w:val="%6."/>
      <w:lvlJc w:val="right"/>
      <w:pPr>
        <w:ind w:left="3196" w:hanging="480"/>
      </w:pPr>
    </w:lvl>
    <w:lvl w:ilvl="6" w:tentative="0">
      <w:start w:val="1"/>
      <w:numFmt w:val="decimal"/>
      <w:lvlText w:val="%7."/>
      <w:lvlJc w:val="left"/>
      <w:pPr>
        <w:ind w:left="3676" w:hanging="480"/>
      </w:pPr>
    </w:lvl>
    <w:lvl w:ilvl="7" w:tentative="0">
      <w:start w:val="1"/>
      <w:numFmt w:val="ideographTraditional"/>
      <w:lvlText w:val="%8、"/>
      <w:lvlJc w:val="left"/>
      <w:pPr>
        <w:ind w:left="4156" w:hanging="480"/>
      </w:pPr>
    </w:lvl>
    <w:lvl w:ilvl="8" w:tentative="0">
      <w:start w:val="1"/>
      <w:numFmt w:val="lowerRoman"/>
      <w:lvlText w:val="%9."/>
      <w:lvlJc w:val="right"/>
      <w:pPr>
        <w:ind w:left="4636" w:hanging="480"/>
      </w:pPr>
    </w:lvl>
  </w:abstractNum>
  <w:abstractNum w:abstractNumId="5">
    <w:nsid w:val="521407F7"/>
    <w:multiLevelType w:val="multilevel"/>
    <w:tmpl w:val="521407F7"/>
    <w:lvl w:ilvl="0" w:tentative="0">
      <w:start w:val="1"/>
      <w:numFmt w:val="ideographLegalTraditional"/>
      <w:lvlText w:val="%1、"/>
      <w:lvlJc w:val="left"/>
      <w:pPr>
        <w:tabs>
          <w:tab w:val="left" w:pos="2280"/>
        </w:tabs>
        <w:ind w:left="2280" w:hanging="720"/>
      </w:pPr>
      <w:rPr>
        <w:rFonts w:hint="eastAsia" w:ascii="標楷體" w:hAnsi="標楷體" w:eastAsia="標楷體"/>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166F"/>
    <w:rsid w:val="00036009"/>
    <w:rsid w:val="00041E80"/>
    <w:rsid w:val="000458CC"/>
    <w:rsid w:val="00045CAA"/>
    <w:rsid w:val="000478C4"/>
    <w:rsid w:val="0005260B"/>
    <w:rsid w:val="00056D8F"/>
    <w:rsid w:val="0005786A"/>
    <w:rsid w:val="00066C1E"/>
    <w:rsid w:val="00072A4E"/>
    <w:rsid w:val="00074184"/>
    <w:rsid w:val="000752A0"/>
    <w:rsid w:val="0007537B"/>
    <w:rsid w:val="00082B9F"/>
    <w:rsid w:val="0009489D"/>
    <w:rsid w:val="000A276A"/>
    <w:rsid w:val="000C08EF"/>
    <w:rsid w:val="000C0B63"/>
    <w:rsid w:val="000C1F16"/>
    <w:rsid w:val="000C6AFA"/>
    <w:rsid w:val="000C6F7F"/>
    <w:rsid w:val="000D1239"/>
    <w:rsid w:val="000D5043"/>
    <w:rsid w:val="000D700B"/>
    <w:rsid w:val="000E0A95"/>
    <w:rsid w:val="000E2E37"/>
    <w:rsid w:val="000E5C25"/>
    <w:rsid w:val="000E6023"/>
    <w:rsid w:val="000F3E22"/>
    <w:rsid w:val="00101F83"/>
    <w:rsid w:val="0010301A"/>
    <w:rsid w:val="001077FF"/>
    <w:rsid w:val="00115867"/>
    <w:rsid w:val="001202AA"/>
    <w:rsid w:val="001212EA"/>
    <w:rsid w:val="001340D9"/>
    <w:rsid w:val="00134265"/>
    <w:rsid w:val="00145717"/>
    <w:rsid w:val="00146E82"/>
    <w:rsid w:val="001555C6"/>
    <w:rsid w:val="00163C60"/>
    <w:rsid w:val="00165829"/>
    <w:rsid w:val="0016613A"/>
    <w:rsid w:val="001916DD"/>
    <w:rsid w:val="0019228D"/>
    <w:rsid w:val="0019303D"/>
    <w:rsid w:val="00197318"/>
    <w:rsid w:val="001B0266"/>
    <w:rsid w:val="001B28E5"/>
    <w:rsid w:val="001B2C65"/>
    <w:rsid w:val="001B365B"/>
    <w:rsid w:val="001C28EB"/>
    <w:rsid w:val="001C6E47"/>
    <w:rsid w:val="001C7BA3"/>
    <w:rsid w:val="001D1828"/>
    <w:rsid w:val="001D1D46"/>
    <w:rsid w:val="001D6695"/>
    <w:rsid w:val="001E023B"/>
    <w:rsid w:val="001E0354"/>
    <w:rsid w:val="001E4699"/>
    <w:rsid w:val="001F4681"/>
    <w:rsid w:val="00205BB4"/>
    <w:rsid w:val="0021191D"/>
    <w:rsid w:val="00213D22"/>
    <w:rsid w:val="002263D1"/>
    <w:rsid w:val="002277DE"/>
    <w:rsid w:val="002315EA"/>
    <w:rsid w:val="00237DD2"/>
    <w:rsid w:val="00243244"/>
    <w:rsid w:val="00243F9C"/>
    <w:rsid w:val="002461BA"/>
    <w:rsid w:val="00253749"/>
    <w:rsid w:val="00256DC3"/>
    <w:rsid w:val="0026525A"/>
    <w:rsid w:val="00266D88"/>
    <w:rsid w:val="00267661"/>
    <w:rsid w:val="00270186"/>
    <w:rsid w:val="002741EA"/>
    <w:rsid w:val="00277EF9"/>
    <w:rsid w:val="00280783"/>
    <w:rsid w:val="002841A6"/>
    <w:rsid w:val="00284863"/>
    <w:rsid w:val="00286709"/>
    <w:rsid w:val="00287F40"/>
    <w:rsid w:val="00290693"/>
    <w:rsid w:val="002913A5"/>
    <w:rsid w:val="002919D4"/>
    <w:rsid w:val="002943FD"/>
    <w:rsid w:val="0029725D"/>
    <w:rsid w:val="002A5057"/>
    <w:rsid w:val="002B12AC"/>
    <w:rsid w:val="002B4ABF"/>
    <w:rsid w:val="002B6B4B"/>
    <w:rsid w:val="002B749D"/>
    <w:rsid w:val="002C2F83"/>
    <w:rsid w:val="002C56F4"/>
    <w:rsid w:val="002D4FC0"/>
    <w:rsid w:val="002E0ABB"/>
    <w:rsid w:val="002E275F"/>
    <w:rsid w:val="002F48B8"/>
    <w:rsid w:val="0031399B"/>
    <w:rsid w:val="003213CD"/>
    <w:rsid w:val="00332877"/>
    <w:rsid w:val="003369B2"/>
    <w:rsid w:val="00341435"/>
    <w:rsid w:val="00342301"/>
    <w:rsid w:val="00346903"/>
    <w:rsid w:val="00347268"/>
    <w:rsid w:val="00350C66"/>
    <w:rsid w:val="003531FD"/>
    <w:rsid w:val="00354FC3"/>
    <w:rsid w:val="003552C5"/>
    <w:rsid w:val="003558CF"/>
    <w:rsid w:val="00360169"/>
    <w:rsid w:val="00364118"/>
    <w:rsid w:val="00366BB2"/>
    <w:rsid w:val="003675F0"/>
    <w:rsid w:val="0037017B"/>
    <w:rsid w:val="0037630A"/>
    <w:rsid w:val="003772EE"/>
    <w:rsid w:val="00381D4D"/>
    <w:rsid w:val="0038565F"/>
    <w:rsid w:val="003902B9"/>
    <w:rsid w:val="00392165"/>
    <w:rsid w:val="00393758"/>
    <w:rsid w:val="00396B23"/>
    <w:rsid w:val="00397BE2"/>
    <w:rsid w:val="003A0829"/>
    <w:rsid w:val="003A364A"/>
    <w:rsid w:val="003A428D"/>
    <w:rsid w:val="003B0F0C"/>
    <w:rsid w:val="003C1AEA"/>
    <w:rsid w:val="003D15CD"/>
    <w:rsid w:val="003D6C6C"/>
    <w:rsid w:val="003E3DA7"/>
    <w:rsid w:val="003E5403"/>
    <w:rsid w:val="003E7511"/>
    <w:rsid w:val="003F1365"/>
    <w:rsid w:val="003F197A"/>
    <w:rsid w:val="003F58A0"/>
    <w:rsid w:val="003F6BE8"/>
    <w:rsid w:val="0040091D"/>
    <w:rsid w:val="004043DB"/>
    <w:rsid w:val="00404B38"/>
    <w:rsid w:val="00407766"/>
    <w:rsid w:val="00426F3C"/>
    <w:rsid w:val="0043554C"/>
    <w:rsid w:val="004376E4"/>
    <w:rsid w:val="00443001"/>
    <w:rsid w:val="004445D7"/>
    <w:rsid w:val="00446697"/>
    <w:rsid w:val="00447F83"/>
    <w:rsid w:val="00450E97"/>
    <w:rsid w:val="00454F9E"/>
    <w:rsid w:val="0046756B"/>
    <w:rsid w:val="00476E9A"/>
    <w:rsid w:val="00483086"/>
    <w:rsid w:val="00491B7B"/>
    <w:rsid w:val="004B1C4E"/>
    <w:rsid w:val="004D4BC3"/>
    <w:rsid w:val="004D5581"/>
    <w:rsid w:val="004D7DEA"/>
    <w:rsid w:val="004E6951"/>
    <w:rsid w:val="00503717"/>
    <w:rsid w:val="00503B27"/>
    <w:rsid w:val="005102C7"/>
    <w:rsid w:val="00513CA7"/>
    <w:rsid w:val="00516497"/>
    <w:rsid w:val="005325B8"/>
    <w:rsid w:val="005469D7"/>
    <w:rsid w:val="00551F74"/>
    <w:rsid w:val="00553E28"/>
    <w:rsid w:val="00554990"/>
    <w:rsid w:val="00554A5A"/>
    <w:rsid w:val="00561515"/>
    <w:rsid w:val="005644AB"/>
    <w:rsid w:val="005645F8"/>
    <w:rsid w:val="00570BAD"/>
    <w:rsid w:val="00571F43"/>
    <w:rsid w:val="00573020"/>
    <w:rsid w:val="00575D85"/>
    <w:rsid w:val="00583C91"/>
    <w:rsid w:val="0059171C"/>
    <w:rsid w:val="00596543"/>
    <w:rsid w:val="005967BF"/>
    <w:rsid w:val="00596AA9"/>
    <w:rsid w:val="00597197"/>
    <w:rsid w:val="005A2360"/>
    <w:rsid w:val="005A2BE6"/>
    <w:rsid w:val="005A4C61"/>
    <w:rsid w:val="005C02C4"/>
    <w:rsid w:val="005C2188"/>
    <w:rsid w:val="005C25B4"/>
    <w:rsid w:val="005C4F52"/>
    <w:rsid w:val="005C7D51"/>
    <w:rsid w:val="005D1FF4"/>
    <w:rsid w:val="005F385A"/>
    <w:rsid w:val="005F52C4"/>
    <w:rsid w:val="005F6419"/>
    <w:rsid w:val="005F7B02"/>
    <w:rsid w:val="00602B32"/>
    <w:rsid w:val="006073F8"/>
    <w:rsid w:val="00611695"/>
    <w:rsid w:val="00611C5E"/>
    <w:rsid w:val="0061330B"/>
    <w:rsid w:val="006171CC"/>
    <w:rsid w:val="0062274E"/>
    <w:rsid w:val="00623701"/>
    <w:rsid w:val="00627412"/>
    <w:rsid w:val="006322A9"/>
    <w:rsid w:val="006353C2"/>
    <w:rsid w:val="00637AE0"/>
    <w:rsid w:val="00641929"/>
    <w:rsid w:val="00643E58"/>
    <w:rsid w:val="00651C04"/>
    <w:rsid w:val="006634C1"/>
    <w:rsid w:val="006716D5"/>
    <w:rsid w:val="00673717"/>
    <w:rsid w:val="006741E8"/>
    <w:rsid w:val="0067683E"/>
    <w:rsid w:val="00682A1A"/>
    <w:rsid w:val="0069134D"/>
    <w:rsid w:val="00691E7E"/>
    <w:rsid w:val="00691EE2"/>
    <w:rsid w:val="00695539"/>
    <w:rsid w:val="00697324"/>
    <w:rsid w:val="006A13FE"/>
    <w:rsid w:val="006B29AB"/>
    <w:rsid w:val="006B579E"/>
    <w:rsid w:val="006D0711"/>
    <w:rsid w:val="006D4BA4"/>
    <w:rsid w:val="006D7219"/>
    <w:rsid w:val="006F45EE"/>
    <w:rsid w:val="006F6AC1"/>
    <w:rsid w:val="00701994"/>
    <w:rsid w:val="007026B6"/>
    <w:rsid w:val="007153D5"/>
    <w:rsid w:val="007154A5"/>
    <w:rsid w:val="00717F7D"/>
    <w:rsid w:val="00724080"/>
    <w:rsid w:val="00727BCC"/>
    <w:rsid w:val="0073149F"/>
    <w:rsid w:val="007360DC"/>
    <w:rsid w:val="007425F9"/>
    <w:rsid w:val="00746E8C"/>
    <w:rsid w:val="007472BC"/>
    <w:rsid w:val="00750296"/>
    <w:rsid w:val="00751A02"/>
    <w:rsid w:val="00751C62"/>
    <w:rsid w:val="00754726"/>
    <w:rsid w:val="0075674A"/>
    <w:rsid w:val="007630C7"/>
    <w:rsid w:val="0077339D"/>
    <w:rsid w:val="00781123"/>
    <w:rsid w:val="00783190"/>
    <w:rsid w:val="007840E9"/>
    <w:rsid w:val="007979BD"/>
    <w:rsid w:val="007A3B86"/>
    <w:rsid w:val="007A4D17"/>
    <w:rsid w:val="007B0705"/>
    <w:rsid w:val="007B507D"/>
    <w:rsid w:val="007B55FD"/>
    <w:rsid w:val="007B581B"/>
    <w:rsid w:val="007C386E"/>
    <w:rsid w:val="007C4D91"/>
    <w:rsid w:val="007C7EBB"/>
    <w:rsid w:val="007C7FA0"/>
    <w:rsid w:val="007D17F7"/>
    <w:rsid w:val="007F5C69"/>
    <w:rsid w:val="0080136B"/>
    <w:rsid w:val="00804F0B"/>
    <w:rsid w:val="00822EDA"/>
    <w:rsid w:val="00826C7E"/>
    <w:rsid w:val="00834E45"/>
    <w:rsid w:val="0084758D"/>
    <w:rsid w:val="008476B8"/>
    <w:rsid w:val="00853234"/>
    <w:rsid w:val="008534ED"/>
    <w:rsid w:val="00854360"/>
    <w:rsid w:val="00856B0D"/>
    <w:rsid w:val="00863BCF"/>
    <w:rsid w:val="008654CB"/>
    <w:rsid w:val="00867F1D"/>
    <w:rsid w:val="00876D44"/>
    <w:rsid w:val="00877AD1"/>
    <w:rsid w:val="0088618F"/>
    <w:rsid w:val="008A39DF"/>
    <w:rsid w:val="008C38A4"/>
    <w:rsid w:val="008C797D"/>
    <w:rsid w:val="008D0F7A"/>
    <w:rsid w:val="008D455B"/>
    <w:rsid w:val="008E1FB3"/>
    <w:rsid w:val="008F797D"/>
    <w:rsid w:val="00903008"/>
    <w:rsid w:val="00910682"/>
    <w:rsid w:val="00922618"/>
    <w:rsid w:val="0092324F"/>
    <w:rsid w:val="009277BE"/>
    <w:rsid w:val="00930268"/>
    <w:rsid w:val="009376A4"/>
    <w:rsid w:val="00940549"/>
    <w:rsid w:val="00943FAB"/>
    <w:rsid w:val="00952573"/>
    <w:rsid w:val="00953EC3"/>
    <w:rsid w:val="00954A1F"/>
    <w:rsid w:val="00961C73"/>
    <w:rsid w:val="00964B1B"/>
    <w:rsid w:val="00964DC5"/>
    <w:rsid w:val="009706B6"/>
    <w:rsid w:val="00982A28"/>
    <w:rsid w:val="00983E2C"/>
    <w:rsid w:val="00991A21"/>
    <w:rsid w:val="00991F5F"/>
    <w:rsid w:val="009944B8"/>
    <w:rsid w:val="00996D5C"/>
    <w:rsid w:val="009A7416"/>
    <w:rsid w:val="009B1583"/>
    <w:rsid w:val="009B7A65"/>
    <w:rsid w:val="009C5D4B"/>
    <w:rsid w:val="009C68CD"/>
    <w:rsid w:val="009D12A6"/>
    <w:rsid w:val="009D156A"/>
    <w:rsid w:val="009D2659"/>
    <w:rsid w:val="009D5678"/>
    <w:rsid w:val="009F5A88"/>
    <w:rsid w:val="00A10C17"/>
    <w:rsid w:val="00A1121D"/>
    <w:rsid w:val="00A12D9C"/>
    <w:rsid w:val="00A15908"/>
    <w:rsid w:val="00A238E2"/>
    <w:rsid w:val="00A31F99"/>
    <w:rsid w:val="00A32DAE"/>
    <w:rsid w:val="00A33AEB"/>
    <w:rsid w:val="00A352E9"/>
    <w:rsid w:val="00A40AFA"/>
    <w:rsid w:val="00A640B8"/>
    <w:rsid w:val="00A64732"/>
    <w:rsid w:val="00A6785D"/>
    <w:rsid w:val="00A742B5"/>
    <w:rsid w:val="00A764E5"/>
    <w:rsid w:val="00A76CBD"/>
    <w:rsid w:val="00A84ED2"/>
    <w:rsid w:val="00A879C8"/>
    <w:rsid w:val="00A91343"/>
    <w:rsid w:val="00A92707"/>
    <w:rsid w:val="00AB47B1"/>
    <w:rsid w:val="00AC3688"/>
    <w:rsid w:val="00AC3EE8"/>
    <w:rsid w:val="00AC4BC2"/>
    <w:rsid w:val="00AC6D67"/>
    <w:rsid w:val="00AD1C60"/>
    <w:rsid w:val="00AE4F58"/>
    <w:rsid w:val="00AE530E"/>
    <w:rsid w:val="00AE7CC9"/>
    <w:rsid w:val="00AF5CEB"/>
    <w:rsid w:val="00B01212"/>
    <w:rsid w:val="00B03B05"/>
    <w:rsid w:val="00B07058"/>
    <w:rsid w:val="00B109F5"/>
    <w:rsid w:val="00B12A28"/>
    <w:rsid w:val="00B176D2"/>
    <w:rsid w:val="00B21162"/>
    <w:rsid w:val="00B30548"/>
    <w:rsid w:val="00B3564A"/>
    <w:rsid w:val="00B41C9B"/>
    <w:rsid w:val="00B52210"/>
    <w:rsid w:val="00B6006B"/>
    <w:rsid w:val="00B6203F"/>
    <w:rsid w:val="00B625D4"/>
    <w:rsid w:val="00B641B6"/>
    <w:rsid w:val="00B7669E"/>
    <w:rsid w:val="00B776EB"/>
    <w:rsid w:val="00B77975"/>
    <w:rsid w:val="00B81E3C"/>
    <w:rsid w:val="00B8503E"/>
    <w:rsid w:val="00B86381"/>
    <w:rsid w:val="00B9077F"/>
    <w:rsid w:val="00B960AF"/>
    <w:rsid w:val="00BA00B8"/>
    <w:rsid w:val="00BA175D"/>
    <w:rsid w:val="00BA375B"/>
    <w:rsid w:val="00BA59C9"/>
    <w:rsid w:val="00BA62F4"/>
    <w:rsid w:val="00BA673C"/>
    <w:rsid w:val="00BA7E86"/>
    <w:rsid w:val="00BB1701"/>
    <w:rsid w:val="00BC056C"/>
    <w:rsid w:val="00BC0AA1"/>
    <w:rsid w:val="00BC4DD1"/>
    <w:rsid w:val="00BD0845"/>
    <w:rsid w:val="00BE1ABE"/>
    <w:rsid w:val="00BE5704"/>
    <w:rsid w:val="00C015C7"/>
    <w:rsid w:val="00C01B1D"/>
    <w:rsid w:val="00C10E42"/>
    <w:rsid w:val="00C1291D"/>
    <w:rsid w:val="00C1794E"/>
    <w:rsid w:val="00C227CD"/>
    <w:rsid w:val="00C24779"/>
    <w:rsid w:val="00C417C4"/>
    <w:rsid w:val="00C46A12"/>
    <w:rsid w:val="00C50812"/>
    <w:rsid w:val="00C51903"/>
    <w:rsid w:val="00C53686"/>
    <w:rsid w:val="00C642E8"/>
    <w:rsid w:val="00C6748F"/>
    <w:rsid w:val="00C71259"/>
    <w:rsid w:val="00C71CAE"/>
    <w:rsid w:val="00C861EA"/>
    <w:rsid w:val="00C9216B"/>
    <w:rsid w:val="00C93A07"/>
    <w:rsid w:val="00C978CD"/>
    <w:rsid w:val="00CA2713"/>
    <w:rsid w:val="00CA3821"/>
    <w:rsid w:val="00CC0B19"/>
    <w:rsid w:val="00CC4867"/>
    <w:rsid w:val="00CD1781"/>
    <w:rsid w:val="00CD48D5"/>
    <w:rsid w:val="00CD63A6"/>
    <w:rsid w:val="00CD699D"/>
    <w:rsid w:val="00CE247F"/>
    <w:rsid w:val="00CF1381"/>
    <w:rsid w:val="00CF1643"/>
    <w:rsid w:val="00CF3163"/>
    <w:rsid w:val="00D01F61"/>
    <w:rsid w:val="00D020E0"/>
    <w:rsid w:val="00D1664C"/>
    <w:rsid w:val="00D23C4B"/>
    <w:rsid w:val="00D26163"/>
    <w:rsid w:val="00D3023E"/>
    <w:rsid w:val="00D30AF3"/>
    <w:rsid w:val="00D32080"/>
    <w:rsid w:val="00D37F51"/>
    <w:rsid w:val="00D44FC5"/>
    <w:rsid w:val="00D475E9"/>
    <w:rsid w:val="00D56B26"/>
    <w:rsid w:val="00D60DEE"/>
    <w:rsid w:val="00D64BCC"/>
    <w:rsid w:val="00D66C95"/>
    <w:rsid w:val="00D747D7"/>
    <w:rsid w:val="00D74D85"/>
    <w:rsid w:val="00D75816"/>
    <w:rsid w:val="00D77640"/>
    <w:rsid w:val="00D8214D"/>
    <w:rsid w:val="00D83D99"/>
    <w:rsid w:val="00D83E18"/>
    <w:rsid w:val="00D85F31"/>
    <w:rsid w:val="00D93D64"/>
    <w:rsid w:val="00DA1958"/>
    <w:rsid w:val="00DA29A6"/>
    <w:rsid w:val="00DB1040"/>
    <w:rsid w:val="00DB5414"/>
    <w:rsid w:val="00DB6AE7"/>
    <w:rsid w:val="00DB7A97"/>
    <w:rsid w:val="00DC68B2"/>
    <w:rsid w:val="00DD13D2"/>
    <w:rsid w:val="00DD729E"/>
    <w:rsid w:val="00DE0B2C"/>
    <w:rsid w:val="00DE3922"/>
    <w:rsid w:val="00DF20DC"/>
    <w:rsid w:val="00DF4687"/>
    <w:rsid w:val="00DF5BF9"/>
    <w:rsid w:val="00DF799A"/>
    <w:rsid w:val="00DF7F60"/>
    <w:rsid w:val="00E053E7"/>
    <w:rsid w:val="00E20244"/>
    <w:rsid w:val="00E22DB5"/>
    <w:rsid w:val="00E25AAC"/>
    <w:rsid w:val="00E25D95"/>
    <w:rsid w:val="00E26B1D"/>
    <w:rsid w:val="00E4115C"/>
    <w:rsid w:val="00E4116F"/>
    <w:rsid w:val="00E41CBC"/>
    <w:rsid w:val="00E579F6"/>
    <w:rsid w:val="00E60324"/>
    <w:rsid w:val="00E61415"/>
    <w:rsid w:val="00E7079A"/>
    <w:rsid w:val="00E77480"/>
    <w:rsid w:val="00E82C7F"/>
    <w:rsid w:val="00E83262"/>
    <w:rsid w:val="00E83B4C"/>
    <w:rsid w:val="00E90D1F"/>
    <w:rsid w:val="00E93E65"/>
    <w:rsid w:val="00E97381"/>
    <w:rsid w:val="00EA036B"/>
    <w:rsid w:val="00EA2DDB"/>
    <w:rsid w:val="00EC1622"/>
    <w:rsid w:val="00EC7E55"/>
    <w:rsid w:val="00ED0CF9"/>
    <w:rsid w:val="00ED4B08"/>
    <w:rsid w:val="00ED51DD"/>
    <w:rsid w:val="00EE17CE"/>
    <w:rsid w:val="00EE3FC1"/>
    <w:rsid w:val="00EE67F4"/>
    <w:rsid w:val="00EE7864"/>
    <w:rsid w:val="00EF3548"/>
    <w:rsid w:val="00EF6FD6"/>
    <w:rsid w:val="00F017F8"/>
    <w:rsid w:val="00F02652"/>
    <w:rsid w:val="00F1459B"/>
    <w:rsid w:val="00F15421"/>
    <w:rsid w:val="00F15579"/>
    <w:rsid w:val="00F15673"/>
    <w:rsid w:val="00F16651"/>
    <w:rsid w:val="00F16E5D"/>
    <w:rsid w:val="00F2060C"/>
    <w:rsid w:val="00F220BD"/>
    <w:rsid w:val="00F30682"/>
    <w:rsid w:val="00F340E2"/>
    <w:rsid w:val="00F3445F"/>
    <w:rsid w:val="00F37021"/>
    <w:rsid w:val="00F40218"/>
    <w:rsid w:val="00F42464"/>
    <w:rsid w:val="00F44DBC"/>
    <w:rsid w:val="00F47278"/>
    <w:rsid w:val="00F50368"/>
    <w:rsid w:val="00F569C2"/>
    <w:rsid w:val="00F605F7"/>
    <w:rsid w:val="00F61865"/>
    <w:rsid w:val="00F6338C"/>
    <w:rsid w:val="00F65CE2"/>
    <w:rsid w:val="00F71C2C"/>
    <w:rsid w:val="00F861AF"/>
    <w:rsid w:val="00FA3AD8"/>
    <w:rsid w:val="00FA4DFB"/>
    <w:rsid w:val="00FB40B8"/>
    <w:rsid w:val="00FC6D63"/>
    <w:rsid w:val="00FD09A8"/>
    <w:rsid w:val="00FD2ECC"/>
    <w:rsid w:val="00FD61E9"/>
    <w:rsid w:val="00FE410E"/>
    <w:rsid w:val="00FE662F"/>
    <w:rsid w:val="00FF67C0"/>
    <w:rsid w:val="0D5374ED"/>
    <w:rsid w:val="2CCD10C1"/>
    <w:rsid w:val="3BE53C03"/>
    <w:rsid w:val="43EE2F34"/>
    <w:rsid w:val="4A4E1B9D"/>
    <w:rsid w:val="5AC6787B"/>
    <w:rsid w:val="783B7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unhideWhenUsed/>
    <w:qFormat/>
    <w:uiPriority w:val="99"/>
    <w:rPr>
      <w:rFonts w:ascii="Cambria" w:hAnsi="Cambria"/>
      <w:sz w:val="18"/>
      <w:szCs w:val="18"/>
    </w:rPr>
  </w:style>
  <w:style w:type="paragraph" w:styleId="5">
    <w:name w:val="Body Text"/>
    <w:basedOn w:val="1"/>
    <w:semiHidden/>
    <w:qFormat/>
    <w:uiPriority w:val="0"/>
    <w:pPr>
      <w:jc w:val="center"/>
    </w:pPr>
    <w:rPr>
      <w:rFonts w:eastAsia="標楷體"/>
      <w:sz w:val="30"/>
      <w:szCs w:val="24"/>
    </w:rPr>
  </w:style>
  <w:style w:type="paragraph" w:styleId="6">
    <w:name w:val="Body Text Indent"/>
    <w:basedOn w:val="1"/>
    <w:link w:val="21"/>
    <w:semiHidden/>
    <w:qFormat/>
    <w:uiPriority w:val="0"/>
    <w:pPr>
      <w:spacing w:line="360" w:lineRule="exact"/>
      <w:ind w:left="2155" w:leftChars="898" w:firstLine="3" w:firstLineChars="1"/>
    </w:pPr>
    <w:rPr>
      <w:rFonts w:eastAsia="標楷體"/>
      <w:color w:val="000000"/>
      <w:sz w:val="28"/>
    </w:rPr>
  </w:style>
  <w:style w:type="paragraph" w:styleId="7">
    <w:name w:val="Body Text Indent 2"/>
    <w:basedOn w:val="1"/>
    <w:semiHidden/>
    <w:qFormat/>
    <w:uiPriority w:val="0"/>
    <w:pPr>
      <w:spacing w:line="520" w:lineRule="exact"/>
      <w:ind w:left="1980" w:hanging="1980" w:hangingChars="707"/>
    </w:pPr>
    <w:rPr>
      <w:rFonts w:eastAsia="標楷體"/>
      <w:color w:val="000000"/>
      <w:sz w:val="28"/>
    </w:rPr>
  </w:style>
  <w:style w:type="paragraph" w:styleId="8">
    <w:name w:val="Body Text Indent 3"/>
    <w:basedOn w:val="1"/>
    <w:semiHidden/>
    <w:qFormat/>
    <w:uiPriority w:val="0"/>
    <w:pPr>
      <w:spacing w:line="500" w:lineRule="exact"/>
      <w:ind w:left="840" w:hanging="840" w:hangingChars="300"/>
    </w:pPr>
    <w:rPr>
      <w:rFonts w:eastAsia="標楷體"/>
      <w:color w:val="000000"/>
      <w:sz w:val="28"/>
    </w:rPr>
  </w:style>
  <w:style w:type="character" w:styleId="9">
    <w:name w:val="FollowedHyperlink"/>
    <w:semiHidden/>
    <w:qFormat/>
    <w:uiPriority w:val="0"/>
    <w:rPr>
      <w:color w:val="800080"/>
      <w:u w:val="single"/>
    </w:rPr>
  </w:style>
  <w:style w:type="paragraph" w:styleId="10">
    <w:name w:val="footer"/>
    <w:basedOn w:val="1"/>
    <w:semiHidden/>
    <w:qFormat/>
    <w:uiPriority w:val="0"/>
    <w:pPr>
      <w:tabs>
        <w:tab w:val="center" w:pos="4153"/>
        <w:tab w:val="right" w:pos="8306"/>
      </w:tabs>
      <w:snapToGrid w:val="0"/>
    </w:pPr>
    <w:rPr>
      <w:sz w:val="20"/>
    </w:rPr>
  </w:style>
  <w:style w:type="paragraph" w:styleId="11">
    <w:name w:val="header"/>
    <w:basedOn w:val="1"/>
    <w:link w:val="17"/>
    <w:unhideWhenUsed/>
    <w:qFormat/>
    <w:uiPriority w:val="99"/>
    <w:pPr>
      <w:tabs>
        <w:tab w:val="center" w:pos="4153"/>
        <w:tab w:val="right" w:pos="8306"/>
      </w:tabs>
      <w:snapToGrid w:val="0"/>
    </w:pPr>
    <w:rPr>
      <w:sz w:val="20"/>
    </w:rPr>
  </w:style>
  <w:style w:type="character" w:styleId="12">
    <w:name w:val="Hyperlink"/>
    <w:semiHidden/>
    <w:qFormat/>
    <w:uiPriority w:val="0"/>
    <w:rPr>
      <w:color w:val="0000FF"/>
      <w:u w:val="single"/>
    </w:rPr>
  </w:style>
  <w:style w:type="paragraph" w:styleId="13">
    <w:name w:val="Note Heading"/>
    <w:basedOn w:val="1"/>
    <w:next w:val="1"/>
    <w:link w:val="19"/>
    <w:semiHidden/>
    <w:qFormat/>
    <w:uiPriority w:val="0"/>
    <w:pPr>
      <w:jc w:val="center"/>
    </w:pPr>
    <w:rPr>
      <w:rFonts w:ascii="標楷體" w:hAnsi="標楷體" w:eastAsia="標楷體"/>
      <w:sz w:val="28"/>
      <w:szCs w:val="24"/>
    </w:rPr>
  </w:style>
  <w:style w:type="character" w:styleId="14">
    <w:name w:val="page number"/>
    <w:basedOn w:val="2"/>
    <w:semiHidden/>
    <w:qFormat/>
    <w:uiPriority w:val="0"/>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11"/>
    <w:qFormat/>
    <w:uiPriority w:val="99"/>
    <w:rPr>
      <w:kern w:val="2"/>
    </w:rPr>
  </w:style>
  <w:style w:type="character" w:customStyle="1" w:styleId="18">
    <w:name w:val="註解方塊文字 字元"/>
    <w:link w:val="4"/>
    <w:semiHidden/>
    <w:qFormat/>
    <w:uiPriority w:val="99"/>
    <w:rPr>
      <w:rFonts w:ascii="Cambria" w:hAnsi="Cambria" w:eastAsia="新細明體" w:cs="Times New Roman"/>
      <w:kern w:val="2"/>
      <w:sz w:val="18"/>
      <w:szCs w:val="18"/>
    </w:rPr>
  </w:style>
  <w:style w:type="character" w:customStyle="1" w:styleId="19">
    <w:name w:val="註釋標題 字元"/>
    <w:link w:val="13"/>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本文縮排 字元"/>
    <w:basedOn w:val="2"/>
    <w:link w:val="6"/>
    <w:semiHidden/>
    <w:qFormat/>
    <w:uiPriority w:val="0"/>
    <w:rPr>
      <w:rFonts w:eastAsia="標楷體"/>
      <w:color w:val="000000"/>
      <w:kern w:val="2"/>
      <w:sz w:val="28"/>
    </w:rPr>
  </w:style>
  <w:style w:type="paragraph" w:customStyle="1" w:styleId="22">
    <w:name w:val="無間距1"/>
    <w:qFormat/>
    <w:uiPriority w:val="1"/>
    <w:pPr>
      <w:widowControl w:val="0"/>
      <w:spacing w:after="160" w:line="278" w:lineRule="auto"/>
    </w:pPr>
    <w:rPr>
      <w:rFonts w:ascii="Times New Roman" w:hAnsi="Times New Roman" w:eastAsia="新細明體" w:cs="Times New Roman"/>
      <w:kern w:val="2"/>
      <w:sz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897E-FD49-45DE-9372-30D8CA365929}">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6</Pages>
  <Words>538</Words>
  <Characters>3073</Characters>
  <Lines>25</Lines>
  <Paragraphs>7</Paragraphs>
  <TotalTime>29</TotalTime>
  <ScaleCrop>false</ScaleCrop>
  <LinksUpToDate>false</LinksUpToDate>
  <CharactersWithSpaces>3604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2025-06-29T06:55:00Z</dcterms:created>
  <dc:creator>解雅麗</dc:creator>
  <cp:lastModifiedBy>USER</cp:lastModifiedBy>
  <cp:lastPrinted>2025-06-29T06:49:00Z</cp:lastPrinted>
  <dcterms:modified xsi:type="dcterms:W3CDTF">2025-06-30T01:29:31Z</dcterms:modified>
  <dc:title>健保IC卡宣導計畫（草案）         89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442BE54DD9C542FB9E4EB793FA36DB9E_12</vt:lpwstr>
  </property>
</Properties>
</file>